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840"/>
      </w:pPr>
    </w:p>
    <w:p>
      <w:pPr>
        <w:spacing w:after="320"/>
        <w:jc w:val="left"/>
      </w:pPr>
      <w:r>
        <w:rPr>
          <w:rFonts w:ascii="Calibri" w:hAnsi="Calibri"/>
          <w:b/>
          <w:color w:val="2A8C82"/>
          <w:sz w:val="20"/>
        </w:rPr>
        <w:t>PROGRAMA DE PSIQUIATRÍA PARA INTERNOS DE MEDICINA</w:t>
      </w:r>
    </w:p>
    <w:p>
      <w:pPr>
        <w:spacing w:after="240"/>
      </w:pPr>
      <w:r>
        <w:rPr>
          <w:rFonts w:ascii="Calibri" w:hAnsi="Calibri"/>
          <w:b/>
          <w:color w:val="173A5E"/>
          <w:sz w:val="56"/>
        </w:rPr>
        <w:t>Psiquiatría para internos de Medicina</w:t>
      </w:r>
    </w:p>
    <w:p>
      <w:pPr>
        <w:spacing w:after="400"/>
      </w:pPr>
      <w:r>
        <w:rPr>
          <w:rFonts w:ascii="Calibri" w:hAnsi="Calibri"/>
          <w:color w:val="246B8E"/>
          <w:sz w:val="30"/>
        </w:rPr>
        <w:t>Compendio integral de lecturas · 50 capítulos</w:t>
      </w:r>
    </w:p>
    <w:p>
      <w:pPr>
        <w:spacing w:after="840"/>
      </w:pPr>
      <w:r>
        <w:rPr>
          <w:rFonts w:ascii="Calibri" w:hAnsi="Calibri"/>
          <w:color w:val="6B7280"/>
          <w:sz w:val="22"/>
        </w:rPr>
        <w:t>Entrevista, examen mental, razonamiento clínico, patologías, tratamientos y contexto chileno</w:t>
      </w:r>
    </w:p>
    <w:p>
      <w:pPr>
        <w:spacing w:before="520" w:after="0"/>
        <w:ind w:left="230" w:right="173"/>
        <w:shd w:fill="F3F5F6"/>
        <w:pBdr>
          <w:left w:val="single" w:sz="16" w:space="8" w:color="2A8C82"/>
        </w:pBdr>
      </w:pPr>
      <w:r>
        <w:rPr>
          <w:rFonts w:ascii="Calibri" w:hAnsi="Calibri"/>
          <w:i/>
          <w:color w:val="6B7280"/>
          <w:sz w:val="17"/>
        </w:rPr>
        <w:t>Versión final para revisión humana. Material docente contextualizado a Chile; no corresponde a un programa oficial de la Pontificia Universidad Católica de Chile ni sustituye protocolos locales, supervisión clínica o evaluación especializada. Fuentes revisadas al 15 de agosto de 2026.</w:t>
      </w:r>
    </w:p>
    <w:p>
      <w:r>
        <w:br w:type="page"/>
      </w:r>
    </w:p>
    <w:p>
      <w:pPr>
        <w:pStyle w:val="Heading1"/>
      </w:pPr>
      <w:r>
        <w:t>Índice general</w:t>
      </w:r>
    </w:p>
    <w:p>
      <w:pPr>
        <w:spacing w:after="180"/>
      </w:pPr>
      <w:r>
        <w:t>Los títulos del índice enlazan con el inicio de cada capítulo. La numeración de páginas corresponde a esta edición compilada.</w:t>
      </w:r>
    </w:p>
    <w:tbl>
      <w:tblPr>
        <w:tblStyle w:val="TableGrid"/>
        <w:tblW w:type="dxa" w:w="9648"/>
        <w:jc w:val="left"/>
        <w:tblLayout w:type="fixed"/>
        <w:tblLook w:firstColumn="1" w:firstRow="1" w:lastColumn="0" w:lastRow="0" w:noHBand="0" w:noVBand="1" w:val="04A0"/>
        <w:tblInd w:w="120" w:type="dxa"/>
      </w:tblPr>
      <w:tblGrid>
        <w:gridCol w:w="700"/>
        <w:gridCol w:w="8148"/>
        <w:gridCol w:w="800"/>
      </w:tblGrid>
      <w:tr>
        <w:trPr>
          <w:tblHeader w:val="true"/>
        </w:trPr>
        <w:tc>
          <w:tcPr>
            <w:tcW w:type="dxa" w:w="700"/>
            <w:shd w:fill="173A5E"/>
            <w:tcMar>
              <w:top w:w="85" w:type="dxa"/>
              <w:start w:w="120" w:type="dxa"/>
              <w:bottom w:w="85" w:type="dxa"/>
              <w:end w:w="120" w:type="dxa"/>
            </w:tcMar>
            <w:vAlign w:val="center"/>
          </w:tcPr>
          <w:p>
            <w:pPr>
              <w:spacing w:after="0"/>
            </w:pPr>
            <w:r>
              <w:rPr>
                <w:rFonts w:ascii="Calibri" w:hAnsi="Calibri"/>
                <w:b/>
                <w:color w:val="FFFFFF"/>
                <w:sz w:val="18"/>
              </w:rPr>
              <w:t>N.º</w:t>
            </w:r>
          </w:p>
        </w:tc>
        <w:tc>
          <w:tcPr>
            <w:tcW w:type="dxa" w:w="8148"/>
            <w:shd w:fill="173A5E"/>
            <w:tcMar>
              <w:top w:w="85" w:type="dxa"/>
              <w:start w:w="120" w:type="dxa"/>
              <w:bottom w:w="85" w:type="dxa"/>
              <w:end w:w="120" w:type="dxa"/>
            </w:tcMar>
            <w:vAlign w:val="center"/>
          </w:tcPr>
          <w:p>
            <w:pPr>
              <w:spacing w:after="0"/>
            </w:pPr>
            <w:r>
              <w:rPr>
                <w:rFonts w:ascii="Calibri" w:hAnsi="Calibri"/>
                <w:b/>
                <w:color w:val="FFFFFF"/>
                <w:sz w:val="18"/>
              </w:rPr>
              <w:t>Capítulo</w:t>
            </w:r>
          </w:p>
        </w:tc>
        <w:tc>
          <w:tcPr>
            <w:tcW w:type="dxa" w:w="800"/>
            <w:shd w:fill="173A5E"/>
            <w:tcMar>
              <w:top w:w="85" w:type="dxa"/>
              <w:start w:w="120" w:type="dxa"/>
              <w:bottom w:w="85" w:type="dxa"/>
              <w:end w:w="120" w:type="dxa"/>
            </w:tcMar>
            <w:vAlign w:val="center"/>
          </w:tcPr>
          <w:p>
            <w:pPr>
              <w:spacing w:after="0"/>
            </w:pPr>
            <w:r>
              <w:rPr>
                <w:rFonts w:ascii="Calibri" w:hAnsi="Calibri"/>
                <w:b/>
                <w:color w:val="FFFFFF"/>
                <w:sz w:val="18"/>
              </w:rPr>
              <w:t>Pág.</w:t>
            </w:r>
          </w:p>
        </w:tc>
      </w:tr>
      <w:tr>
        <w:trPr>
          <w:cantSplit/>
        </w:trPr>
        <w:tc>
          <w:tcPr>
            <w:tcW w:type="dxa" w:w="700"/>
            <w:tcMar>
              <w:top w:w="85" w:type="dxa"/>
              <w:start w:w="120" w:type="dxa"/>
              <w:bottom w:w="85" w:type="dxa"/>
              <w:end w:w="120" w:type="dxa"/>
            </w:tcMar>
            <w:vAlign w:val="center"/>
          </w:tcPr>
          <w:p>
            <w:pPr>
              <w:spacing w:after="0" w:line="240" w:lineRule="auto"/>
              <w:jc w:val="center"/>
            </w:pPr>
            <w:r>
              <w:rPr>
                <w:rFonts w:ascii="Calibri" w:hAnsi="Calibri"/>
                <w:b/>
                <w:color w:val="2A8C82"/>
                <w:sz w:val="18"/>
              </w:rPr>
              <w:t>01</w:t>
            </w:r>
          </w:p>
        </w:tc>
        <w:tc>
          <w:tcPr>
            <w:tcW w:type="dxa" w:w="8148"/>
            <w:tcMar>
              <w:top w:w="85" w:type="dxa"/>
              <w:start w:w="120" w:type="dxa"/>
              <w:bottom w:w="85" w:type="dxa"/>
              <w:end w:w="120" w:type="dxa"/>
            </w:tcMar>
            <w:vAlign w:val="center"/>
          </w:tcPr>
          <w:p>
            <w:pPr>
              <w:spacing w:after="0" w:line="240" w:lineRule="auto"/>
              <w:jc w:val="left"/>
            </w:pPr>
            <w:hyperlink w:anchor="chapter_01" w:history="1">
              <w:r>
                <w:rPr>
                  <w:color w:val="246B8E"/>
                  <w:u w:val="single"/>
                </w:rPr>
                <w:t>La entrevista psiquiátrica: encuadre, alianza y estructura</w:t>
              </w:r>
            </w:hyperlink>
          </w:p>
        </w:tc>
        <w:tc>
          <w:tcPr>
            <w:tcW w:type="dxa" w:w="800"/>
            <w:tcMar>
              <w:top w:w="85" w:type="dxa"/>
              <w:start w:w="120" w:type="dxa"/>
              <w:bottom w:w="85" w:type="dxa"/>
              <w:end w:w="120" w:type="dxa"/>
            </w:tcMar>
            <w:vAlign w:val="center"/>
          </w:tcPr>
          <w:p>
            <w:pPr>
              <w:spacing w:after="0" w:line="240" w:lineRule="auto"/>
              <w:jc w:val="center"/>
            </w:pPr>
            <w:r>
              <w:rPr>
                <w:rFonts w:ascii="Calibri" w:hAnsi="Calibri"/>
                <w:sz w:val="18"/>
              </w:rPr>
              <w:t>4</w:t>
            </w:r>
          </w:p>
        </w:tc>
      </w:tr>
      <w:tr>
        <w:trPr>
          <w:cantSplit/>
        </w:trPr>
        <w:tc>
          <w:tcPr>
            <w:tcW w:type="dxa" w:w="700"/>
            <w:shd w:fill="EAF3F7"/>
            <w:tcMar>
              <w:top w:w="85" w:type="dxa"/>
              <w:start w:w="120" w:type="dxa"/>
              <w:bottom w:w="85" w:type="dxa"/>
              <w:end w:w="120" w:type="dxa"/>
            </w:tcMar>
            <w:vAlign w:val="center"/>
          </w:tcPr>
          <w:p>
            <w:pPr>
              <w:spacing w:after="0" w:line="240" w:lineRule="auto"/>
              <w:jc w:val="center"/>
            </w:pPr>
            <w:r>
              <w:rPr>
                <w:rFonts w:ascii="Calibri" w:hAnsi="Calibri"/>
                <w:b/>
                <w:color w:val="2A8C82"/>
                <w:sz w:val="18"/>
              </w:rPr>
              <w:t>02</w:t>
            </w:r>
          </w:p>
        </w:tc>
        <w:tc>
          <w:tcPr>
            <w:tcW w:type="dxa" w:w="8148"/>
            <w:shd w:fill="EAF3F7"/>
            <w:tcMar>
              <w:top w:w="85" w:type="dxa"/>
              <w:start w:w="120" w:type="dxa"/>
              <w:bottom w:w="85" w:type="dxa"/>
              <w:end w:w="120" w:type="dxa"/>
            </w:tcMar>
            <w:vAlign w:val="center"/>
          </w:tcPr>
          <w:p>
            <w:pPr>
              <w:spacing w:after="0" w:line="240" w:lineRule="auto"/>
              <w:jc w:val="left"/>
            </w:pPr>
            <w:hyperlink w:anchor="chapter_02" w:history="1">
              <w:r>
                <w:rPr>
                  <w:color w:val="246B8E"/>
                  <w:u w:val="single"/>
                </w:rPr>
                <w:t>Anamnesis psiquiátrica e historia longitudinal</w:t>
              </w:r>
            </w:hyperlink>
          </w:p>
        </w:tc>
        <w:tc>
          <w:tcPr>
            <w:tcW w:type="dxa" w:w="800"/>
            <w:shd w:fill="EAF3F7"/>
            <w:tcMar>
              <w:top w:w="85" w:type="dxa"/>
              <w:start w:w="120" w:type="dxa"/>
              <w:bottom w:w="85" w:type="dxa"/>
              <w:end w:w="120" w:type="dxa"/>
            </w:tcMar>
            <w:vAlign w:val="center"/>
          </w:tcPr>
          <w:p>
            <w:pPr>
              <w:spacing w:after="0" w:line="240" w:lineRule="auto"/>
              <w:jc w:val="center"/>
            </w:pPr>
            <w:r>
              <w:rPr>
                <w:rFonts w:ascii="Calibri" w:hAnsi="Calibri"/>
                <w:sz w:val="18"/>
              </w:rPr>
              <w:t>10</w:t>
            </w:r>
          </w:p>
        </w:tc>
      </w:tr>
      <w:tr>
        <w:trPr>
          <w:cantSplit/>
        </w:trPr>
        <w:tc>
          <w:tcPr>
            <w:tcW w:type="dxa" w:w="700"/>
            <w:tcMar>
              <w:top w:w="85" w:type="dxa"/>
              <w:start w:w="120" w:type="dxa"/>
              <w:bottom w:w="85" w:type="dxa"/>
              <w:end w:w="120" w:type="dxa"/>
            </w:tcMar>
            <w:vAlign w:val="center"/>
          </w:tcPr>
          <w:p>
            <w:pPr>
              <w:spacing w:after="0" w:line="240" w:lineRule="auto"/>
              <w:jc w:val="center"/>
            </w:pPr>
            <w:r>
              <w:rPr>
                <w:rFonts w:ascii="Calibri" w:hAnsi="Calibri"/>
                <w:b/>
                <w:color w:val="2A8C82"/>
                <w:sz w:val="18"/>
              </w:rPr>
              <w:t>03</w:t>
            </w:r>
          </w:p>
        </w:tc>
        <w:tc>
          <w:tcPr>
            <w:tcW w:type="dxa" w:w="8148"/>
            <w:tcMar>
              <w:top w:w="85" w:type="dxa"/>
              <w:start w:w="120" w:type="dxa"/>
              <w:bottom w:w="85" w:type="dxa"/>
              <w:end w:w="120" w:type="dxa"/>
            </w:tcMar>
            <w:vAlign w:val="center"/>
          </w:tcPr>
          <w:p>
            <w:pPr>
              <w:spacing w:after="0" w:line="240" w:lineRule="auto"/>
              <w:jc w:val="left"/>
            </w:pPr>
            <w:hyperlink w:anchor="chapter_03" w:history="1">
              <w:r>
                <w:rPr>
                  <w:color w:val="246B8E"/>
                  <w:u w:val="single"/>
                </w:rPr>
                <w:t>Heteroanamnesis y entrevistas difíciles</w:t>
              </w:r>
            </w:hyperlink>
          </w:p>
        </w:tc>
        <w:tc>
          <w:tcPr>
            <w:tcW w:type="dxa" w:w="800"/>
            <w:tcMar>
              <w:top w:w="85" w:type="dxa"/>
              <w:start w:w="120" w:type="dxa"/>
              <w:bottom w:w="85" w:type="dxa"/>
              <w:end w:w="120" w:type="dxa"/>
            </w:tcMar>
            <w:vAlign w:val="center"/>
          </w:tcPr>
          <w:p>
            <w:pPr>
              <w:spacing w:after="0" w:line="240" w:lineRule="auto"/>
              <w:jc w:val="center"/>
            </w:pPr>
            <w:r>
              <w:rPr>
                <w:rFonts w:ascii="Calibri" w:hAnsi="Calibri"/>
                <w:sz w:val="18"/>
              </w:rPr>
              <w:t>16</w:t>
            </w:r>
          </w:p>
        </w:tc>
      </w:tr>
      <w:tr>
        <w:trPr>
          <w:cantSplit/>
        </w:trPr>
        <w:tc>
          <w:tcPr>
            <w:tcW w:type="dxa" w:w="700"/>
            <w:shd w:fill="EAF3F7"/>
            <w:tcMar>
              <w:top w:w="85" w:type="dxa"/>
              <w:start w:w="120" w:type="dxa"/>
              <w:bottom w:w="85" w:type="dxa"/>
              <w:end w:w="120" w:type="dxa"/>
            </w:tcMar>
            <w:vAlign w:val="center"/>
          </w:tcPr>
          <w:p>
            <w:pPr>
              <w:spacing w:after="0" w:line="240" w:lineRule="auto"/>
              <w:jc w:val="center"/>
            </w:pPr>
            <w:r>
              <w:rPr>
                <w:rFonts w:ascii="Calibri" w:hAnsi="Calibri"/>
                <w:b/>
                <w:color w:val="2A8C82"/>
                <w:sz w:val="18"/>
              </w:rPr>
              <w:t>04</w:t>
            </w:r>
          </w:p>
        </w:tc>
        <w:tc>
          <w:tcPr>
            <w:tcW w:type="dxa" w:w="8148"/>
            <w:shd w:fill="EAF3F7"/>
            <w:tcMar>
              <w:top w:w="85" w:type="dxa"/>
              <w:start w:w="120" w:type="dxa"/>
              <w:bottom w:w="85" w:type="dxa"/>
              <w:end w:w="120" w:type="dxa"/>
            </w:tcMar>
            <w:vAlign w:val="center"/>
          </w:tcPr>
          <w:p>
            <w:pPr>
              <w:spacing w:after="0" w:line="240" w:lineRule="auto"/>
              <w:jc w:val="left"/>
            </w:pPr>
            <w:hyperlink w:anchor="chapter_04" w:history="1">
              <w:r>
                <w:rPr>
                  <w:color w:val="246B8E"/>
                  <w:u w:val="single"/>
                </w:rPr>
                <w:t>Examen mental I: apariencia, conducta, contacto y lenguaje</w:t>
              </w:r>
            </w:hyperlink>
          </w:p>
        </w:tc>
        <w:tc>
          <w:tcPr>
            <w:tcW w:type="dxa" w:w="800"/>
            <w:shd w:fill="EAF3F7"/>
            <w:tcMar>
              <w:top w:w="85" w:type="dxa"/>
              <w:start w:w="120" w:type="dxa"/>
              <w:bottom w:w="85" w:type="dxa"/>
              <w:end w:w="120" w:type="dxa"/>
            </w:tcMar>
            <w:vAlign w:val="center"/>
          </w:tcPr>
          <w:p>
            <w:pPr>
              <w:spacing w:after="0" w:line="240" w:lineRule="auto"/>
              <w:jc w:val="center"/>
            </w:pPr>
            <w:r>
              <w:rPr>
                <w:rFonts w:ascii="Calibri" w:hAnsi="Calibri"/>
                <w:sz w:val="18"/>
              </w:rPr>
              <w:t>23</w:t>
            </w:r>
          </w:p>
        </w:tc>
      </w:tr>
      <w:tr>
        <w:trPr>
          <w:cantSplit/>
        </w:trPr>
        <w:tc>
          <w:tcPr>
            <w:tcW w:type="dxa" w:w="700"/>
            <w:tcMar>
              <w:top w:w="85" w:type="dxa"/>
              <w:start w:w="120" w:type="dxa"/>
              <w:bottom w:w="85" w:type="dxa"/>
              <w:end w:w="120" w:type="dxa"/>
            </w:tcMar>
            <w:vAlign w:val="center"/>
          </w:tcPr>
          <w:p>
            <w:pPr>
              <w:spacing w:after="0" w:line="240" w:lineRule="auto"/>
              <w:jc w:val="center"/>
            </w:pPr>
            <w:r>
              <w:rPr>
                <w:rFonts w:ascii="Calibri" w:hAnsi="Calibri"/>
                <w:b/>
                <w:color w:val="2A8C82"/>
                <w:sz w:val="18"/>
              </w:rPr>
              <w:t>05</w:t>
            </w:r>
          </w:p>
        </w:tc>
        <w:tc>
          <w:tcPr>
            <w:tcW w:type="dxa" w:w="8148"/>
            <w:tcMar>
              <w:top w:w="85" w:type="dxa"/>
              <w:start w:w="120" w:type="dxa"/>
              <w:bottom w:w="85" w:type="dxa"/>
              <w:end w:w="120" w:type="dxa"/>
            </w:tcMar>
            <w:vAlign w:val="center"/>
          </w:tcPr>
          <w:p>
            <w:pPr>
              <w:spacing w:after="0" w:line="240" w:lineRule="auto"/>
              <w:jc w:val="left"/>
            </w:pPr>
            <w:hyperlink w:anchor="chapter_05" w:history="1">
              <w:r>
                <w:rPr>
                  <w:color w:val="246B8E"/>
                  <w:u w:val="single"/>
                </w:rPr>
                <w:t>Examen mental II: ánimo, afecto, ansiedad, voluntad e impulsos</w:t>
              </w:r>
            </w:hyperlink>
          </w:p>
        </w:tc>
        <w:tc>
          <w:tcPr>
            <w:tcW w:type="dxa" w:w="800"/>
            <w:tcMar>
              <w:top w:w="85" w:type="dxa"/>
              <w:start w:w="120" w:type="dxa"/>
              <w:bottom w:w="85" w:type="dxa"/>
              <w:end w:w="120" w:type="dxa"/>
            </w:tcMar>
            <w:vAlign w:val="center"/>
          </w:tcPr>
          <w:p>
            <w:pPr>
              <w:spacing w:after="0" w:line="240" w:lineRule="auto"/>
              <w:jc w:val="center"/>
            </w:pPr>
            <w:r>
              <w:rPr>
                <w:rFonts w:ascii="Calibri" w:hAnsi="Calibri"/>
                <w:sz w:val="18"/>
              </w:rPr>
              <w:t>29</w:t>
            </w:r>
          </w:p>
        </w:tc>
      </w:tr>
      <w:tr>
        <w:trPr>
          <w:cantSplit/>
        </w:trPr>
        <w:tc>
          <w:tcPr>
            <w:tcW w:type="dxa" w:w="700"/>
            <w:shd w:fill="EAF3F7"/>
            <w:tcMar>
              <w:top w:w="85" w:type="dxa"/>
              <w:start w:w="120" w:type="dxa"/>
              <w:bottom w:w="85" w:type="dxa"/>
              <w:end w:w="120" w:type="dxa"/>
            </w:tcMar>
            <w:vAlign w:val="center"/>
          </w:tcPr>
          <w:p>
            <w:pPr>
              <w:spacing w:after="0" w:line="240" w:lineRule="auto"/>
              <w:jc w:val="center"/>
            </w:pPr>
            <w:r>
              <w:rPr>
                <w:rFonts w:ascii="Calibri" w:hAnsi="Calibri"/>
                <w:b/>
                <w:color w:val="2A8C82"/>
                <w:sz w:val="18"/>
              </w:rPr>
              <w:t>06</w:t>
            </w:r>
          </w:p>
        </w:tc>
        <w:tc>
          <w:tcPr>
            <w:tcW w:type="dxa" w:w="8148"/>
            <w:shd w:fill="EAF3F7"/>
            <w:tcMar>
              <w:top w:w="85" w:type="dxa"/>
              <w:start w:w="120" w:type="dxa"/>
              <w:bottom w:w="85" w:type="dxa"/>
              <w:end w:w="120" w:type="dxa"/>
            </w:tcMar>
            <w:vAlign w:val="center"/>
          </w:tcPr>
          <w:p>
            <w:pPr>
              <w:spacing w:after="0" w:line="240" w:lineRule="auto"/>
              <w:jc w:val="left"/>
            </w:pPr>
            <w:hyperlink w:anchor="chapter_06" w:history="1">
              <w:r>
                <w:rPr>
                  <w:color w:val="246B8E"/>
                  <w:u w:val="single"/>
                </w:rPr>
                <w:t>Examen mental III: forma y contenido del pensamiento</w:t>
              </w:r>
            </w:hyperlink>
          </w:p>
        </w:tc>
        <w:tc>
          <w:tcPr>
            <w:tcW w:type="dxa" w:w="800"/>
            <w:shd w:fill="EAF3F7"/>
            <w:tcMar>
              <w:top w:w="85" w:type="dxa"/>
              <w:start w:w="120" w:type="dxa"/>
              <w:bottom w:w="85" w:type="dxa"/>
              <w:end w:w="120" w:type="dxa"/>
            </w:tcMar>
            <w:vAlign w:val="center"/>
          </w:tcPr>
          <w:p>
            <w:pPr>
              <w:spacing w:after="0" w:line="240" w:lineRule="auto"/>
              <w:jc w:val="center"/>
            </w:pPr>
            <w:r>
              <w:rPr>
                <w:rFonts w:ascii="Calibri" w:hAnsi="Calibri"/>
                <w:sz w:val="18"/>
              </w:rPr>
              <w:t>35</w:t>
            </w:r>
          </w:p>
        </w:tc>
      </w:tr>
      <w:tr>
        <w:trPr>
          <w:cantSplit/>
        </w:trPr>
        <w:tc>
          <w:tcPr>
            <w:tcW w:type="dxa" w:w="700"/>
            <w:tcMar>
              <w:top w:w="85" w:type="dxa"/>
              <w:start w:w="120" w:type="dxa"/>
              <w:bottom w:w="85" w:type="dxa"/>
              <w:end w:w="120" w:type="dxa"/>
            </w:tcMar>
            <w:vAlign w:val="center"/>
          </w:tcPr>
          <w:p>
            <w:pPr>
              <w:spacing w:after="0" w:line="240" w:lineRule="auto"/>
              <w:jc w:val="center"/>
            </w:pPr>
            <w:r>
              <w:rPr>
                <w:rFonts w:ascii="Calibri" w:hAnsi="Calibri"/>
                <w:b/>
                <w:color w:val="2A8C82"/>
                <w:sz w:val="18"/>
              </w:rPr>
              <w:t>07</w:t>
            </w:r>
          </w:p>
        </w:tc>
        <w:tc>
          <w:tcPr>
            <w:tcW w:type="dxa" w:w="8148"/>
            <w:tcMar>
              <w:top w:w="85" w:type="dxa"/>
              <w:start w:w="120" w:type="dxa"/>
              <w:bottom w:w="85" w:type="dxa"/>
              <w:end w:w="120" w:type="dxa"/>
            </w:tcMar>
            <w:vAlign w:val="center"/>
          </w:tcPr>
          <w:p>
            <w:pPr>
              <w:spacing w:after="0" w:line="240" w:lineRule="auto"/>
              <w:jc w:val="left"/>
            </w:pPr>
            <w:hyperlink w:anchor="chapter_07" w:history="1">
              <w:r>
                <w:rPr>
                  <w:color w:val="246B8E"/>
                  <w:u w:val="single"/>
                </w:rPr>
                <w:t>Examen mental IV: percepción, cognición, insight y juicio</w:t>
              </w:r>
            </w:hyperlink>
          </w:p>
        </w:tc>
        <w:tc>
          <w:tcPr>
            <w:tcW w:type="dxa" w:w="800"/>
            <w:tcMar>
              <w:top w:w="85" w:type="dxa"/>
              <w:start w:w="120" w:type="dxa"/>
              <w:bottom w:w="85" w:type="dxa"/>
              <w:end w:w="120" w:type="dxa"/>
            </w:tcMar>
            <w:vAlign w:val="center"/>
          </w:tcPr>
          <w:p>
            <w:pPr>
              <w:spacing w:after="0" w:line="240" w:lineRule="auto"/>
              <w:jc w:val="center"/>
            </w:pPr>
            <w:r>
              <w:rPr>
                <w:rFonts w:ascii="Calibri" w:hAnsi="Calibri"/>
                <w:sz w:val="18"/>
              </w:rPr>
              <w:t>41</w:t>
            </w:r>
          </w:p>
        </w:tc>
      </w:tr>
      <w:tr>
        <w:trPr>
          <w:cantSplit/>
        </w:trPr>
        <w:tc>
          <w:tcPr>
            <w:tcW w:type="dxa" w:w="700"/>
            <w:shd w:fill="EAF3F7"/>
            <w:tcMar>
              <w:top w:w="85" w:type="dxa"/>
              <w:start w:w="120" w:type="dxa"/>
              <w:bottom w:w="85" w:type="dxa"/>
              <w:end w:w="120" w:type="dxa"/>
            </w:tcMar>
            <w:vAlign w:val="center"/>
          </w:tcPr>
          <w:p>
            <w:pPr>
              <w:spacing w:after="0" w:line="240" w:lineRule="auto"/>
              <w:jc w:val="center"/>
            </w:pPr>
            <w:r>
              <w:rPr>
                <w:rFonts w:ascii="Calibri" w:hAnsi="Calibri"/>
                <w:b/>
                <w:color w:val="2A8C82"/>
                <w:sz w:val="18"/>
              </w:rPr>
              <w:t>08</w:t>
            </w:r>
          </w:p>
        </w:tc>
        <w:tc>
          <w:tcPr>
            <w:tcW w:type="dxa" w:w="8148"/>
            <w:shd w:fill="EAF3F7"/>
            <w:tcMar>
              <w:top w:w="85" w:type="dxa"/>
              <w:start w:w="120" w:type="dxa"/>
              <w:bottom w:w="85" w:type="dxa"/>
              <w:end w:w="120" w:type="dxa"/>
            </w:tcMar>
            <w:vAlign w:val="center"/>
          </w:tcPr>
          <w:p>
            <w:pPr>
              <w:spacing w:after="0" w:line="240" w:lineRule="auto"/>
              <w:jc w:val="left"/>
            </w:pPr>
            <w:hyperlink w:anchor="chapter_08" w:history="1">
              <w:r>
                <w:rPr>
                  <w:color w:val="246B8E"/>
                  <w:u w:val="single"/>
                </w:rPr>
                <w:t>De síntomas a síndromes psicopatológicos</w:t>
              </w:r>
            </w:hyperlink>
          </w:p>
        </w:tc>
        <w:tc>
          <w:tcPr>
            <w:tcW w:type="dxa" w:w="800"/>
            <w:shd w:fill="EAF3F7"/>
            <w:tcMar>
              <w:top w:w="85" w:type="dxa"/>
              <w:start w:w="120" w:type="dxa"/>
              <w:bottom w:w="85" w:type="dxa"/>
              <w:end w:w="120" w:type="dxa"/>
            </w:tcMar>
            <w:vAlign w:val="center"/>
          </w:tcPr>
          <w:p>
            <w:pPr>
              <w:spacing w:after="0" w:line="240" w:lineRule="auto"/>
              <w:jc w:val="center"/>
            </w:pPr>
            <w:r>
              <w:rPr>
                <w:rFonts w:ascii="Calibri" w:hAnsi="Calibri"/>
                <w:sz w:val="18"/>
              </w:rPr>
              <w:t>48</w:t>
            </w:r>
          </w:p>
        </w:tc>
      </w:tr>
      <w:tr>
        <w:trPr>
          <w:cantSplit/>
        </w:trPr>
        <w:tc>
          <w:tcPr>
            <w:tcW w:type="dxa" w:w="700"/>
            <w:tcMar>
              <w:top w:w="85" w:type="dxa"/>
              <w:start w:w="120" w:type="dxa"/>
              <w:bottom w:w="85" w:type="dxa"/>
              <w:end w:w="120" w:type="dxa"/>
            </w:tcMar>
            <w:vAlign w:val="center"/>
          </w:tcPr>
          <w:p>
            <w:pPr>
              <w:spacing w:after="0" w:line="240" w:lineRule="auto"/>
              <w:jc w:val="center"/>
            </w:pPr>
            <w:r>
              <w:rPr>
                <w:rFonts w:ascii="Calibri" w:hAnsi="Calibri"/>
                <w:b/>
                <w:color w:val="2A8C82"/>
                <w:sz w:val="18"/>
              </w:rPr>
              <w:t>09</w:t>
            </w:r>
          </w:p>
        </w:tc>
        <w:tc>
          <w:tcPr>
            <w:tcW w:type="dxa" w:w="8148"/>
            <w:tcMar>
              <w:top w:w="85" w:type="dxa"/>
              <w:start w:w="120" w:type="dxa"/>
              <w:bottom w:w="85" w:type="dxa"/>
              <w:end w:w="120" w:type="dxa"/>
            </w:tcMar>
            <w:vAlign w:val="center"/>
          </w:tcPr>
          <w:p>
            <w:pPr>
              <w:spacing w:after="0" w:line="240" w:lineRule="auto"/>
              <w:jc w:val="left"/>
            </w:pPr>
            <w:hyperlink w:anchor="chapter_09" w:history="1">
              <w:r>
                <w:rPr>
                  <w:color w:val="246B8E"/>
                  <w:u w:val="single"/>
                </w:rPr>
                <w:t>Razonamiento diagnóstico y descarte de causas médicas, farmacológicas y por sustancias</w:t>
              </w:r>
            </w:hyperlink>
          </w:p>
        </w:tc>
        <w:tc>
          <w:tcPr>
            <w:tcW w:type="dxa" w:w="800"/>
            <w:tcMar>
              <w:top w:w="85" w:type="dxa"/>
              <w:start w:w="120" w:type="dxa"/>
              <w:bottom w:w="85" w:type="dxa"/>
              <w:end w:w="120" w:type="dxa"/>
            </w:tcMar>
            <w:vAlign w:val="center"/>
          </w:tcPr>
          <w:p>
            <w:pPr>
              <w:spacing w:after="0" w:line="240" w:lineRule="auto"/>
              <w:jc w:val="center"/>
            </w:pPr>
            <w:r>
              <w:rPr>
                <w:rFonts w:ascii="Calibri" w:hAnsi="Calibri"/>
                <w:sz w:val="18"/>
              </w:rPr>
              <w:t>55</w:t>
            </w:r>
          </w:p>
        </w:tc>
      </w:tr>
      <w:tr>
        <w:trPr>
          <w:cantSplit/>
        </w:trPr>
        <w:tc>
          <w:tcPr>
            <w:tcW w:type="dxa" w:w="700"/>
            <w:shd w:fill="EAF3F7"/>
            <w:tcMar>
              <w:top w:w="85" w:type="dxa"/>
              <w:start w:w="120" w:type="dxa"/>
              <w:bottom w:w="85" w:type="dxa"/>
              <w:end w:w="120" w:type="dxa"/>
            </w:tcMar>
            <w:vAlign w:val="center"/>
          </w:tcPr>
          <w:p>
            <w:pPr>
              <w:spacing w:after="0" w:line="240" w:lineRule="auto"/>
              <w:jc w:val="center"/>
            </w:pPr>
            <w:r>
              <w:rPr>
                <w:rFonts w:ascii="Calibri" w:hAnsi="Calibri"/>
                <w:b/>
                <w:color w:val="2A8C82"/>
                <w:sz w:val="18"/>
              </w:rPr>
              <w:t>10</w:t>
            </w:r>
          </w:p>
        </w:tc>
        <w:tc>
          <w:tcPr>
            <w:tcW w:type="dxa" w:w="8148"/>
            <w:shd w:fill="EAF3F7"/>
            <w:tcMar>
              <w:top w:w="85" w:type="dxa"/>
              <w:start w:w="120" w:type="dxa"/>
              <w:bottom w:w="85" w:type="dxa"/>
              <w:end w:w="120" w:type="dxa"/>
            </w:tcMar>
            <w:vAlign w:val="center"/>
          </w:tcPr>
          <w:p>
            <w:pPr>
              <w:spacing w:after="0" w:line="240" w:lineRule="auto"/>
              <w:jc w:val="left"/>
            </w:pPr>
            <w:hyperlink w:anchor="chapter_10" w:history="1">
              <w:r>
                <w:rPr>
                  <w:color w:val="246B8E"/>
                  <w:u w:val="single"/>
                </w:rPr>
                <w:t>Formulación clínica, gravedad y plan inicial</w:t>
              </w:r>
            </w:hyperlink>
          </w:p>
        </w:tc>
        <w:tc>
          <w:tcPr>
            <w:tcW w:type="dxa" w:w="800"/>
            <w:shd w:fill="EAF3F7"/>
            <w:tcMar>
              <w:top w:w="85" w:type="dxa"/>
              <w:start w:w="120" w:type="dxa"/>
              <w:bottom w:w="85" w:type="dxa"/>
              <w:end w:w="120" w:type="dxa"/>
            </w:tcMar>
            <w:vAlign w:val="center"/>
          </w:tcPr>
          <w:p>
            <w:pPr>
              <w:spacing w:after="0" w:line="240" w:lineRule="auto"/>
              <w:jc w:val="center"/>
            </w:pPr>
            <w:r>
              <w:rPr>
                <w:rFonts w:ascii="Calibri" w:hAnsi="Calibri"/>
                <w:sz w:val="18"/>
              </w:rPr>
              <w:t>62</w:t>
            </w:r>
          </w:p>
        </w:tc>
      </w:tr>
      <w:tr>
        <w:trPr>
          <w:cantSplit/>
        </w:trPr>
        <w:tc>
          <w:tcPr>
            <w:tcW w:type="dxa" w:w="700"/>
            <w:tcMar>
              <w:top w:w="85" w:type="dxa"/>
              <w:start w:w="120" w:type="dxa"/>
              <w:bottom w:w="85" w:type="dxa"/>
              <w:end w:w="120" w:type="dxa"/>
            </w:tcMar>
            <w:vAlign w:val="center"/>
          </w:tcPr>
          <w:p>
            <w:pPr>
              <w:spacing w:after="0" w:line="240" w:lineRule="auto"/>
              <w:jc w:val="center"/>
            </w:pPr>
            <w:r>
              <w:rPr>
                <w:rFonts w:ascii="Calibri" w:hAnsi="Calibri"/>
                <w:b/>
                <w:color w:val="2A8C82"/>
                <w:sz w:val="18"/>
              </w:rPr>
              <w:t>11</w:t>
            </w:r>
          </w:p>
        </w:tc>
        <w:tc>
          <w:tcPr>
            <w:tcW w:type="dxa" w:w="8148"/>
            <w:tcMar>
              <w:top w:w="85" w:type="dxa"/>
              <w:start w:w="120" w:type="dxa"/>
              <w:bottom w:w="85" w:type="dxa"/>
              <w:end w:w="120" w:type="dxa"/>
            </w:tcMar>
            <w:vAlign w:val="center"/>
          </w:tcPr>
          <w:p>
            <w:pPr>
              <w:spacing w:after="0" w:line="240" w:lineRule="auto"/>
              <w:jc w:val="left"/>
            </w:pPr>
            <w:hyperlink w:anchor="chapter_11" w:history="1">
              <w:r>
                <w:rPr>
                  <w:color w:val="246B8E"/>
                  <w:u w:val="single"/>
                </w:rPr>
                <w:t>Depresión en adultos: diagnóstico, clasificación y GES 34</w:t>
              </w:r>
            </w:hyperlink>
          </w:p>
        </w:tc>
        <w:tc>
          <w:tcPr>
            <w:tcW w:type="dxa" w:w="800"/>
            <w:tcMar>
              <w:top w:w="85" w:type="dxa"/>
              <w:start w:w="120" w:type="dxa"/>
              <w:bottom w:w="85" w:type="dxa"/>
              <w:end w:w="120" w:type="dxa"/>
            </w:tcMar>
            <w:vAlign w:val="center"/>
          </w:tcPr>
          <w:p>
            <w:pPr>
              <w:spacing w:after="0" w:line="240" w:lineRule="auto"/>
              <w:jc w:val="center"/>
            </w:pPr>
            <w:r>
              <w:rPr>
                <w:rFonts w:ascii="Calibri" w:hAnsi="Calibri"/>
                <w:sz w:val="18"/>
              </w:rPr>
              <w:t>69</w:t>
            </w:r>
          </w:p>
        </w:tc>
      </w:tr>
      <w:tr>
        <w:trPr>
          <w:cantSplit/>
        </w:trPr>
        <w:tc>
          <w:tcPr>
            <w:tcW w:type="dxa" w:w="700"/>
            <w:shd w:fill="EAF3F7"/>
            <w:tcMar>
              <w:top w:w="85" w:type="dxa"/>
              <w:start w:w="120" w:type="dxa"/>
              <w:bottom w:w="85" w:type="dxa"/>
              <w:end w:w="120" w:type="dxa"/>
            </w:tcMar>
            <w:vAlign w:val="center"/>
          </w:tcPr>
          <w:p>
            <w:pPr>
              <w:spacing w:after="0" w:line="240" w:lineRule="auto"/>
              <w:jc w:val="center"/>
            </w:pPr>
            <w:r>
              <w:rPr>
                <w:rFonts w:ascii="Calibri" w:hAnsi="Calibri"/>
                <w:b/>
                <w:color w:val="2A8C82"/>
                <w:sz w:val="18"/>
              </w:rPr>
              <w:t>12</w:t>
            </w:r>
          </w:p>
        </w:tc>
        <w:tc>
          <w:tcPr>
            <w:tcW w:type="dxa" w:w="8148"/>
            <w:shd w:fill="EAF3F7"/>
            <w:tcMar>
              <w:top w:w="85" w:type="dxa"/>
              <w:start w:w="120" w:type="dxa"/>
              <w:bottom w:w="85" w:type="dxa"/>
              <w:end w:w="120" w:type="dxa"/>
            </w:tcMar>
            <w:vAlign w:val="center"/>
          </w:tcPr>
          <w:p>
            <w:pPr>
              <w:spacing w:after="0" w:line="240" w:lineRule="auto"/>
              <w:jc w:val="left"/>
            </w:pPr>
            <w:hyperlink w:anchor="chapter_12" w:history="1">
              <w:r>
                <w:rPr>
                  <w:color w:val="246B8E"/>
                  <w:u w:val="single"/>
                </w:rPr>
                <w:t>Tratamiento de la depresión</w:t>
              </w:r>
            </w:hyperlink>
          </w:p>
        </w:tc>
        <w:tc>
          <w:tcPr>
            <w:tcW w:type="dxa" w:w="800"/>
            <w:shd w:fill="EAF3F7"/>
            <w:tcMar>
              <w:top w:w="85" w:type="dxa"/>
              <w:start w:w="120" w:type="dxa"/>
              <w:bottom w:w="85" w:type="dxa"/>
              <w:end w:w="120" w:type="dxa"/>
            </w:tcMar>
            <w:vAlign w:val="center"/>
          </w:tcPr>
          <w:p>
            <w:pPr>
              <w:spacing w:after="0" w:line="240" w:lineRule="auto"/>
              <w:jc w:val="center"/>
            </w:pPr>
            <w:r>
              <w:rPr>
                <w:rFonts w:ascii="Calibri" w:hAnsi="Calibri"/>
                <w:sz w:val="18"/>
              </w:rPr>
              <w:t>75</w:t>
            </w:r>
          </w:p>
        </w:tc>
      </w:tr>
      <w:tr>
        <w:trPr>
          <w:cantSplit/>
        </w:trPr>
        <w:tc>
          <w:tcPr>
            <w:tcW w:type="dxa" w:w="700"/>
            <w:tcMar>
              <w:top w:w="85" w:type="dxa"/>
              <w:start w:w="120" w:type="dxa"/>
              <w:bottom w:w="85" w:type="dxa"/>
              <w:end w:w="120" w:type="dxa"/>
            </w:tcMar>
            <w:vAlign w:val="center"/>
          </w:tcPr>
          <w:p>
            <w:pPr>
              <w:spacing w:after="0" w:line="240" w:lineRule="auto"/>
              <w:jc w:val="center"/>
            </w:pPr>
            <w:r>
              <w:rPr>
                <w:rFonts w:ascii="Calibri" w:hAnsi="Calibri"/>
                <w:b/>
                <w:color w:val="2A8C82"/>
                <w:sz w:val="18"/>
              </w:rPr>
              <w:t>13</w:t>
            </w:r>
          </w:p>
        </w:tc>
        <w:tc>
          <w:tcPr>
            <w:tcW w:type="dxa" w:w="8148"/>
            <w:tcMar>
              <w:top w:w="85" w:type="dxa"/>
              <w:start w:w="120" w:type="dxa"/>
              <w:bottom w:w="85" w:type="dxa"/>
              <w:end w:w="120" w:type="dxa"/>
            </w:tcMar>
            <w:vAlign w:val="center"/>
          </w:tcPr>
          <w:p>
            <w:pPr>
              <w:spacing w:after="0" w:line="240" w:lineRule="auto"/>
              <w:jc w:val="left"/>
            </w:pPr>
            <w:hyperlink w:anchor="chapter_13" w:history="1">
              <w:r>
                <w:rPr>
                  <w:color w:val="246B8E"/>
                  <w:u w:val="single"/>
                </w:rPr>
                <w:t>Depresión grave, psicótica y resistente</w:t>
              </w:r>
            </w:hyperlink>
          </w:p>
        </w:tc>
        <w:tc>
          <w:tcPr>
            <w:tcW w:type="dxa" w:w="800"/>
            <w:tcMar>
              <w:top w:w="85" w:type="dxa"/>
              <w:start w:w="120" w:type="dxa"/>
              <w:bottom w:w="85" w:type="dxa"/>
              <w:end w:w="120" w:type="dxa"/>
            </w:tcMar>
            <w:vAlign w:val="center"/>
          </w:tcPr>
          <w:p>
            <w:pPr>
              <w:spacing w:after="0" w:line="240" w:lineRule="auto"/>
              <w:jc w:val="center"/>
            </w:pPr>
            <w:r>
              <w:rPr>
                <w:rFonts w:ascii="Calibri" w:hAnsi="Calibri"/>
                <w:sz w:val="18"/>
              </w:rPr>
              <w:t>81</w:t>
            </w:r>
          </w:p>
        </w:tc>
      </w:tr>
      <w:tr>
        <w:trPr>
          <w:cantSplit/>
        </w:trPr>
        <w:tc>
          <w:tcPr>
            <w:tcW w:type="dxa" w:w="700"/>
            <w:shd w:fill="EAF3F7"/>
            <w:tcMar>
              <w:top w:w="85" w:type="dxa"/>
              <w:start w:w="120" w:type="dxa"/>
              <w:bottom w:w="85" w:type="dxa"/>
              <w:end w:w="120" w:type="dxa"/>
            </w:tcMar>
            <w:vAlign w:val="center"/>
          </w:tcPr>
          <w:p>
            <w:pPr>
              <w:spacing w:after="0" w:line="240" w:lineRule="auto"/>
              <w:jc w:val="center"/>
            </w:pPr>
            <w:r>
              <w:rPr>
                <w:rFonts w:ascii="Calibri" w:hAnsi="Calibri"/>
                <w:b/>
                <w:color w:val="2A8C82"/>
                <w:sz w:val="18"/>
              </w:rPr>
              <w:t>14</w:t>
            </w:r>
          </w:p>
        </w:tc>
        <w:tc>
          <w:tcPr>
            <w:tcW w:type="dxa" w:w="8148"/>
            <w:shd w:fill="EAF3F7"/>
            <w:tcMar>
              <w:top w:w="85" w:type="dxa"/>
              <w:start w:w="120" w:type="dxa"/>
              <w:bottom w:w="85" w:type="dxa"/>
              <w:end w:w="120" w:type="dxa"/>
            </w:tcMar>
            <w:vAlign w:val="center"/>
          </w:tcPr>
          <w:p>
            <w:pPr>
              <w:spacing w:after="0" w:line="240" w:lineRule="auto"/>
              <w:jc w:val="left"/>
            </w:pPr>
            <w:hyperlink w:anchor="chapter_14" w:history="1">
              <w:r>
                <w:rPr>
                  <w:color w:val="246B8E"/>
                  <w:u w:val="single"/>
                </w:rPr>
                <w:t>Conducta suicida y autolesiones: evaluación dinámica y manejo inicial</w:t>
              </w:r>
            </w:hyperlink>
          </w:p>
        </w:tc>
        <w:tc>
          <w:tcPr>
            <w:tcW w:type="dxa" w:w="800"/>
            <w:shd w:fill="EAF3F7"/>
            <w:tcMar>
              <w:top w:w="85" w:type="dxa"/>
              <w:start w:w="120" w:type="dxa"/>
              <w:bottom w:w="85" w:type="dxa"/>
              <w:end w:w="120" w:type="dxa"/>
            </w:tcMar>
            <w:vAlign w:val="center"/>
          </w:tcPr>
          <w:p>
            <w:pPr>
              <w:spacing w:after="0" w:line="240" w:lineRule="auto"/>
              <w:jc w:val="center"/>
            </w:pPr>
            <w:r>
              <w:rPr>
                <w:rFonts w:ascii="Calibri" w:hAnsi="Calibri"/>
                <w:sz w:val="18"/>
              </w:rPr>
              <w:t>88</w:t>
            </w:r>
          </w:p>
        </w:tc>
      </w:tr>
      <w:tr>
        <w:trPr>
          <w:cantSplit/>
        </w:trPr>
        <w:tc>
          <w:tcPr>
            <w:tcW w:type="dxa" w:w="700"/>
            <w:tcMar>
              <w:top w:w="85" w:type="dxa"/>
              <w:start w:w="120" w:type="dxa"/>
              <w:bottom w:w="85" w:type="dxa"/>
              <w:end w:w="120" w:type="dxa"/>
            </w:tcMar>
            <w:vAlign w:val="center"/>
          </w:tcPr>
          <w:p>
            <w:pPr>
              <w:spacing w:after="0" w:line="240" w:lineRule="auto"/>
              <w:jc w:val="center"/>
            </w:pPr>
            <w:r>
              <w:rPr>
                <w:rFonts w:ascii="Calibri" w:hAnsi="Calibri"/>
                <w:b/>
                <w:color w:val="2A8C82"/>
                <w:sz w:val="18"/>
              </w:rPr>
              <w:t>15</w:t>
            </w:r>
          </w:p>
        </w:tc>
        <w:tc>
          <w:tcPr>
            <w:tcW w:type="dxa" w:w="8148"/>
            <w:tcMar>
              <w:top w:w="85" w:type="dxa"/>
              <w:start w:w="120" w:type="dxa"/>
              <w:bottom w:w="85" w:type="dxa"/>
              <w:end w:w="120" w:type="dxa"/>
            </w:tcMar>
            <w:vAlign w:val="center"/>
          </w:tcPr>
          <w:p>
            <w:pPr>
              <w:spacing w:after="0" w:line="240" w:lineRule="auto"/>
              <w:jc w:val="left"/>
            </w:pPr>
            <w:hyperlink w:anchor="chapter_15" w:history="1">
              <w:r>
                <w:rPr>
                  <w:color w:val="246B8E"/>
                  <w:u w:val="single"/>
                </w:rPr>
                <w:t>Psicoterapias y tratamientos psicosociales: indicaciones para el médico general</w:t>
              </w:r>
            </w:hyperlink>
          </w:p>
        </w:tc>
        <w:tc>
          <w:tcPr>
            <w:tcW w:type="dxa" w:w="800"/>
            <w:tcMar>
              <w:top w:w="85" w:type="dxa"/>
              <w:start w:w="120" w:type="dxa"/>
              <w:bottom w:w="85" w:type="dxa"/>
              <w:end w:w="120" w:type="dxa"/>
            </w:tcMar>
            <w:vAlign w:val="center"/>
          </w:tcPr>
          <w:p>
            <w:pPr>
              <w:spacing w:after="0" w:line="240" w:lineRule="auto"/>
              <w:jc w:val="center"/>
            </w:pPr>
            <w:r>
              <w:rPr>
                <w:rFonts w:ascii="Calibri" w:hAnsi="Calibri"/>
                <w:sz w:val="18"/>
              </w:rPr>
              <w:t>95</w:t>
            </w:r>
          </w:p>
        </w:tc>
      </w:tr>
      <w:tr>
        <w:trPr>
          <w:cantSplit/>
        </w:trPr>
        <w:tc>
          <w:tcPr>
            <w:tcW w:type="dxa" w:w="700"/>
            <w:shd w:fill="EAF3F7"/>
            <w:tcMar>
              <w:top w:w="85" w:type="dxa"/>
              <w:start w:w="120" w:type="dxa"/>
              <w:bottom w:w="85" w:type="dxa"/>
              <w:end w:w="120" w:type="dxa"/>
            </w:tcMar>
            <w:vAlign w:val="center"/>
          </w:tcPr>
          <w:p>
            <w:pPr>
              <w:spacing w:after="0" w:line="240" w:lineRule="auto"/>
              <w:jc w:val="center"/>
            </w:pPr>
            <w:r>
              <w:rPr>
                <w:rFonts w:ascii="Calibri" w:hAnsi="Calibri"/>
                <w:b/>
                <w:color w:val="2A8C82"/>
                <w:sz w:val="18"/>
              </w:rPr>
              <w:t>16</w:t>
            </w:r>
          </w:p>
        </w:tc>
        <w:tc>
          <w:tcPr>
            <w:tcW w:type="dxa" w:w="8148"/>
            <w:shd w:fill="EAF3F7"/>
            <w:tcMar>
              <w:top w:w="85" w:type="dxa"/>
              <w:start w:w="120" w:type="dxa"/>
              <w:bottom w:w="85" w:type="dxa"/>
              <w:end w:w="120" w:type="dxa"/>
            </w:tcMar>
            <w:vAlign w:val="center"/>
          </w:tcPr>
          <w:p>
            <w:pPr>
              <w:spacing w:after="0" w:line="240" w:lineRule="auto"/>
              <w:jc w:val="left"/>
            </w:pPr>
            <w:hyperlink w:anchor="chapter_16" w:history="1">
              <w:r>
                <w:rPr>
                  <w:color w:val="246B8E"/>
                  <w:u w:val="single"/>
                </w:rPr>
                <w:t>Trastorno bipolar I y II: reconocimiento clínico y diagnóstico longitudinal</w:t>
              </w:r>
            </w:hyperlink>
          </w:p>
        </w:tc>
        <w:tc>
          <w:tcPr>
            <w:tcW w:type="dxa" w:w="800"/>
            <w:shd w:fill="EAF3F7"/>
            <w:tcMar>
              <w:top w:w="85" w:type="dxa"/>
              <w:start w:w="120" w:type="dxa"/>
              <w:bottom w:w="85" w:type="dxa"/>
              <w:end w:w="120" w:type="dxa"/>
            </w:tcMar>
            <w:vAlign w:val="center"/>
          </w:tcPr>
          <w:p>
            <w:pPr>
              <w:spacing w:after="0" w:line="240" w:lineRule="auto"/>
              <w:jc w:val="center"/>
            </w:pPr>
            <w:r>
              <w:rPr>
                <w:rFonts w:ascii="Calibri" w:hAnsi="Calibri"/>
                <w:sz w:val="18"/>
              </w:rPr>
              <w:t>102</w:t>
            </w:r>
          </w:p>
        </w:tc>
      </w:tr>
      <w:tr>
        <w:trPr>
          <w:cantSplit/>
        </w:trPr>
        <w:tc>
          <w:tcPr>
            <w:tcW w:type="dxa" w:w="700"/>
            <w:tcMar>
              <w:top w:w="85" w:type="dxa"/>
              <w:start w:w="120" w:type="dxa"/>
              <w:bottom w:w="85" w:type="dxa"/>
              <w:end w:w="120" w:type="dxa"/>
            </w:tcMar>
            <w:vAlign w:val="center"/>
          </w:tcPr>
          <w:p>
            <w:pPr>
              <w:spacing w:after="0" w:line="240" w:lineRule="auto"/>
              <w:jc w:val="center"/>
            </w:pPr>
            <w:r>
              <w:rPr>
                <w:rFonts w:ascii="Calibri" w:hAnsi="Calibri"/>
                <w:b/>
                <w:color w:val="2A8C82"/>
                <w:sz w:val="18"/>
              </w:rPr>
              <w:t>17</w:t>
            </w:r>
          </w:p>
        </w:tc>
        <w:tc>
          <w:tcPr>
            <w:tcW w:type="dxa" w:w="8148"/>
            <w:tcMar>
              <w:top w:w="85" w:type="dxa"/>
              <w:start w:w="120" w:type="dxa"/>
              <w:bottom w:w="85" w:type="dxa"/>
              <w:end w:w="120" w:type="dxa"/>
            </w:tcMar>
            <w:vAlign w:val="center"/>
          </w:tcPr>
          <w:p>
            <w:pPr>
              <w:spacing w:after="0" w:line="240" w:lineRule="auto"/>
              <w:jc w:val="left"/>
            </w:pPr>
            <w:hyperlink w:anchor="chapter_17" w:history="1">
              <w:r>
                <w:rPr>
                  <w:color w:val="246B8E"/>
                  <w:u w:val="single"/>
                </w:rPr>
                <w:t>Bipolaridad: diagnóstico diferencial, causas secundarias y comorbilidad</w:t>
              </w:r>
            </w:hyperlink>
          </w:p>
        </w:tc>
        <w:tc>
          <w:tcPr>
            <w:tcW w:type="dxa" w:w="800"/>
            <w:tcMar>
              <w:top w:w="85" w:type="dxa"/>
              <w:start w:w="120" w:type="dxa"/>
              <w:bottom w:w="85" w:type="dxa"/>
              <w:end w:w="120" w:type="dxa"/>
            </w:tcMar>
            <w:vAlign w:val="center"/>
          </w:tcPr>
          <w:p>
            <w:pPr>
              <w:spacing w:after="0" w:line="240" w:lineRule="auto"/>
              <w:jc w:val="center"/>
            </w:pPr>
            <w:r>
              <w:rPr>
                <w:rFonts w:ascii="Calibri" w:hAnsi="Calibri"/>
                <w:sz w:val="18"/>
              </w:rPr>
              <w:t>108</w:t>
            </w:r>
          </w:p>
        </w:tc>
      </w:tr>
      <w:tr>
        <w:trPr>
          <w:cantSplit/>
        </w:trPr>
        <w:tc>
          <w:tcPr>
            <w:tcW w:type="dxa" w:w="700"/>
            <w:shd w:fill="EAF3F7"/>
            <w:tcMar>
              <w:top w:w="85" w:type="dxa"/>
              <w:start w:w="120" w:type="dxa"/>
              <w:bottom w:w="85" w:type="dxa"/>
              <w:end w:w="120" w:type="dxa"/>
            </w:tcMar>
            <w:vAlign w:val="center"/>
          </w:tcPr>
          <w:p>
            <w:pPr>
              <w:spacing w:after="0" w:line="240" w:lineRule="auto"/>
              <w:jc w:val="center"/>
            </w:pPr>
            <w:r>
              <w:rPr>
                <w:rFonts w:ascii="Calibri" w:hAnsi="Calibri"/>
                <w:b/>
                <w:color w:val="2A8C82"/>
                <w:sz w:val="18"/>
              </w:rPr>
              <w:t>18</w:t>
            </w:r>
          </w:p>
        </w:tc>
        <w:tc>
          <w:tcPr>
            <w:tcW w:type="dxa" w:w="8148"/>
            <w:shd w:fill="EAF3F7"/>
            <w:tcMar>
              <w:top w:w="85" w:type="dxa"/>
              <w:start w:w="120" w:type="dxa"/>
              <w:bottom w:w="85" w:type="dxa"/>
              <w:end w:w="120" w:type="dxa"/>
            </w:tcMar>
            <w:vAlign w:val="center"/>
          </w:tcPr>
          <w:p>
            <w:pPr>
              <w:spacing w:after="0" w:line="240" w:lineRule="auto"/>
              <w:jc w:val="left"/>
            </w:pPr>
            <w:hyperlink w:anchor="chapter_18" w:history="1">
              <w:r>
                <w:rPr>
                  <w:color w:val="246B8E"/>
                  <w:u w:val="single"/>
                </w:rPr>
                <w:t>Manía y episodios con características mixtas: manejo agudo</w:t>
              </w:r>
            </w:hyperlink>
          </w:p>
        </w:tc>
        <w:tc>
          <w:tcPr>
            <w:tcW w:type="dxa" w:w="800"/>
            <w:shd w:fill="EAF3F7"/>
            <w:tcMar>
              <w:top w:w="85" w:type="dxa"/>
              <w:start w:w="120" w:type="dxa"/>
              <w:bottom w:w="85" w:type="dxa"/>
              <w:end w:w="120" w:type="dxa"/>
            </w:tcMar>
            <w:vAlign w:val="center"/>
          </w:tcPr>
          <w:p>
            <w:pPr>
              <w:spacing w:after="0" w:line="240" w:lineRule="auto"/>
              <w:jc w:val="center"/>
            </w:pPr>
            <w:r>
              <w:rPr>
                <w:rFonts w:ascii="Calibri" w:hAnsi="Calibri"/>
                <w:sz w:val="18"/>
              </w:rPr>
              <w:t>114</w:t>
            </w:r>
          </w:p>
        </w:tc>
      </w:tr>
      <w:tr>
        <w:trPr>
          <w:cantSplit/>
        </w:trPr>
        <w:tc>
          <w:tcPr>
            <w:tcW w:type="dxa" w:w="700"/>
            <w:tcMar>
              <w:top w:w="85" w:type="dxa"/>
              <w:start w:w="120" w:type="dxa"/>
              <w:bottom w:w="85" w:type="dxa"/>
              <w:end w:w="120" w:type="dxa"/>
            </w:tcMar>
            <w:vAlign w:val="center"/>
          </w:tcPr>
          <w:p>
            <w:pPr>
              <w:spacing w:after="0" w:line="240" w:lineRule="auto"/>
              <w:jc w:val="center"/>
            </w:pPr>
            <w:r>
              <w:rPr>
                <w:rFonts w:ascii="Calibri" w:hAnsi="Calibri"/>
                <w:b/>
                <w:color w:val="2A8C82"/>
                <w:sz w:val="18"/>
              </w:rPr>
              <w:t>19</w:t>
            </w:r>
          </w:p>
        </w:tc>
        <w:tc>
          <w:tcPr>
            <w:tcW w:type="dxa" w:w="8148"/>
            <w:tcMar>
              <w:top w:w="85" w:type="dxa"/>
              <w:start w:w="120" w:type="dxa"/>
              <w:bottom w:w="85" w:type="dxa"/>
              <w:end w:w="120" w:type="dxa"/>
            </w:tcMar>
            <w:vAlign w:val="center"/>
          </w:tcPr>
          <w:p>
            <w:pPr>
              <w:spacing w:after="0" w:line="240" w:lineRule="auto"/>
              <w:jc w:val="left"/>
            </w:pPr>
            <w:hyperlink w:anchor="chapter_19" w:history="1">
              <w:r>
                <w:rPr>
                  <w:color w:val="246B8E"/>
                  <w:u w:val="single"/>
                </w:rPr>
                <w:t>Depresión bipolar: diagnóstico y tratamiento</w:t>
              </w:r>
            </w:hyperlink>
          </w:p>
        </w:tc>
        <w:tc>
          <w:tcPr>
            <w:tcW w:type="dxa" w:w="800"/>
            <w:tcMar>
              <w:top w:w="85" w:type="dxa"/>
              <w:start w:w="120" w:type="dxa"/>
              <w:bottom w:w="85" w:type="dxa"/>
              <w:end w:w="120" w:type="dxa"/>
            </w:tcMar>
            <w:vAlign w:val="center"/>
          </w:tcPr>
          <w:p>
            <w:pPr>
              <w:spacing w:after="0" w:line="240" w:lineRule="auto"/>
              <w:jc w:val="center"/>
            </w:pPr>
            <w:r>
              <w:rPr>
                <w:rFonts w:ascii="Calibri" w:hAnsi="Calibri"/>
                <w:sz w:val="18"/>
              </w:rPr>
              <w:t>120</w:t>
            </w:r>
          </w:p>
        </w:tc>
      </w:tr>
      <w:tr>
        <w:trPr>
          <w:cantSplit/>
        </w:trPr>
        <w:tc>
          <w:tcPr>
            <w:tcW w:type="dxa" w:w="700"/>
            <w:shd w:fill="EAF3F7"/>
            <w:tcMar>
              <w:top w:w="85" w:type="dxa"/>
              <w:start w:w="120" w:type="dxa"/>
              <w:bottom w:w="85" w:type="dxa"/>
              <w:end w:w="120" w:type="dxa"/>
            </w:tcMar>
            <w:vAlign w:val="center"/>
          </w:tcPr>
          <w:p>
            <w:pPr>
              <w:spacing w:after="0" w:line="240" w:lineRule="auto"/>
              <w:jc w:val="center"/>
            </w:pPr>
            <w:r>
              <w:rPr>
                <w:rFonts w:ascii="Calibri" w:hAnsi="Calibri"/>
                <w:b/>
                <w:color w:val="2A8C82"/>
                <w:sz w:val="18"/>
              </w:rPr>
              <w:t>20</w:t>
            </w:r>
          </w:p>
        </w:tc>
        <w:tc>
          <w:tcPr>
            <w:tcW w:type="dxa" w:w="8148"/>
            <w:shd w:fill="EAF3F7"/>
            <w:tcMar>
              <w:top w:w="85" w:type="dxa"/>
              <w:start w:w="120" w:type="dxa"/>
              <w:bottom w:w="85" w:type="dxa"/>
              <w:end w:w="120" w:type="dxa"/>
            </w:tcMar>
            <w:vAlign w:val="center"/>
          </w:tcPr>
          <w:p>
            <w:pPr>
              <w:spacing w:after="0" w:line="240" w:lineRule="auto"/>
              <w:jc w:val="left"/>
            </w:pPr>
            <w:hyperlink w:anchor="chapter_20" w:history="1">
              <w:r>
                <w:rPr>
                  <w:color w:val="246B8E"/>
                  <w:u w:val="single"/>
                </w:rPr>
                <w:t>Trastorno bipolar: mantención, monitorización, prevención de recaídas y GES 75</w:t>
              </w:r>
            </w:hyperlink>
          </w:p>
        </w:tc>
        <w:tc>
          <w:tcPr>
            <w:tcW w:type="dxa" w:w="800"/>
            <w:shd w:fill="EAF3F7"/>
            <w:tcMar>
              <w:top w:w="85" w:type="dxa"/>
              <w:start w:w="120" w:type="dxa"/>
              <w:bottom w:w="85" w:type="dxa"/>
              <w:end w:w="120" w:type="dxa"/>
            </w:tcMar>
            <w:vAlign w:val="center"/>
          </w:tcPr>
          <w:p>
            <w:pPr>
              <w:spacing w:after="0" w:line="240" w:lineRule="auto"/>
              <w:jc w:val="center"/>
            </w:pPr>
            <w:r>
              <w:rPr>
                <w:rFonts w:ascii="Calibri" w:hAnsi="Calibri"/>
                <w:sz w:val="18"/>
              </w:rPr>
              <w:t>126</w:t>
            </w:r>
          </w:p>
        </w:tc>
      </w:tr>
      <w:tr>
        <w:trPr>
          <w:cantSplit/>
        </w:trPr>
        <w:tc>
          <w:tcPr>
            <w:tcW w:type="dxa" w:w="700"/>
            <w:tcMar>
              <w:top w:w="85" w:type="dxa"/>
              <w:start w:w="120" w:type="dxa"/>
              <w:bottom w:w="85" w:type="dxa"/>
              <w:end w:w="120" w:type="dxa"/>
            </w:tcMar>
            <w:vAlign w:val="center"/>
          </w:tcPr>
          <w:p>
            <w:pPr>
              <w:spacing w:after="0" w:line="240" w:lineRule="auto"/>
              <w:jc w:val="center"/>
            </w:pPr>
            <w:r>
              <w:rPr>
                <w:rFonts w:ascii="Calibri" w:hAnsi="Calibri"/>
                <w:b/>
                <w:color w:val="2A8C82"/>
                <w:sz w:val="18"/>
              </w:rPr>
              <w:t>21</w:t>
            </w:r>
          </w:p>
        </w:tc>
        <w:tc>
          <w:tcPr>
            <w:tcW w:type="dxa" w:w="8148"/>
            <w:tcMar>
              <w:top w:w="85" w:type="dxa"/>
              <w:start w:w="120" w:type="dxa"/>
              <w:bottom w:w="85" w:type="dxa"/>
              <w:end w:w="120" w:type="dxa"/>
            </w:tcMar>
            <w:vAlign w:val="center"/>
          </w:tcPr>
          <w:p>
            <w:pPr>
              <w:spacing w:after="0" w:line="240" w:lineRule="auto"/>
              <w:jc w:val="left"/>
            </w:pPr>
            <w:hyperlink w:anchor="chapter_21" w:history="1">
              <w:r>
                <w:rPr>
                  <w:color w:val="246B8E"/>
                  <w:u w:val="single"/>
                </w:rPr>
                <w:t>Primer episodio psicótico: reconocimiento, estudio y manejo inicial</w:t>
              </w:r>
            </w:hyperlink>
          </w:p>
        </w:tc>
        <w:tc>
          <w:tcPr>
            <w:tcW w:type="dxa" w:w="800"/>
            <w:tcMar>
              <w:top w:w="85" w:type="dxa"/>
              <w:start w:w="120" w:type="dxa"/>
              <w:bottom w:w="85" w:type="dxa"/>
              <w:end w:w="120" w:type="dxa"/>
            </w:tcMar>
            <w:vAlign w:val="center"/>
          </w:tcPr>
          <w:p>
            <w:pPr>
              <w:spacing w:after="0" w:line="240" w:lineRule="auto"/>
              <w:jc w:val="center"/>
            </w:pPr>
            <w:r>
              <w:rPr>
                <w:rFonts w:ascii="Calibri" w:hAnsi="Calibri"/>
                <w:sz w:val="18"/>
              </w:rPr>
              <w:t>132</w:t>
            </w:r>
          </w:p>
        </w:tc>
      </w:tr>
      <w:tr>
        <w:trPr>
          <w:cantSplit/>
        </w:trPr>
        <w:tc>
          <w:tcPr>
            <w:tcW w:type="dxa" w:w="700"/>
            <w:shd w:fill="EAF3F7"/>
            <w:tcMar>
              <w:top w:w="85" w:type="dxa"/>
              <w:start w:w="120" w:type="dxa"/>
              <w:bottom w:w="85" w:type="dxa"/>
              <w:end w:w="120" w:type="dxa"/>
            </w:tcMar>
            <w:vAlign w:val="center"/>
          </w:tcPr>
          <w:p>
            <w:pPr>
              <w:spacing w:after="0" w:line="240" w:lineRule="auto"/>
              <w:jc w:val="center"/>
            </w:pPr>
            <w:r>
              <w:rPr>
                <w:rFonts w:ascii="Calibri" w:hAnsi="Calibri"/>
                <w:b/>
                <w:color w:val="2A8C82"/>
                <w:sz w:val="18"/>
              </w:rPr>
              <w:t>22</w:t>
            </w:r>
          </w:p>
        </w:tc>
        <w:tc>
          <w:tcPr>
            <w:tcW w:type="dxa" w:w="8148"/>
            <w:shd w:fill="EAF3F7"/>
            <w:tcMar>
              <w:top w:w="85" w:type="dxa"/>
              <w:start w:w="120" w:type="dxa"/>
              <w:bottom w:w="85" w:type="dxa"/>
              <w:end w:w="120" w:type="dxa"/>
            </w:tcMar>
            <w:vAlign w:val="center"/>
          </w:tcPr>
          <w:p>
            <w:pPr>
              <w:spacing w:after="0" w:line="240" w:lineRule="auto"/>
              <w:jc w:val="left"/>
            </w:pPr>
            <w:hyperlink w:anchor="chapter_22" w:history="1">
              <w:r>
                <w:rPr>
                  <w:color w:val="246B8E"/>
                  <w:u w:val="single"/>
                </w:rPr>
                <w:t>Esquizofrenia y otros trastornos psicóticos: curso, diagnóstico y GES 15</w:t>
              </w:r>
            </w:hyperlink>
          </w:p>
        </w:tc>
        <w:tc>
          <w:tcPr>
            <w:tcW w:type="dxa" w:w="800"/>
            <w:shd w:fill="EAF3F7"/>
            <w:tcMar>
              <w:top w:w="85" w:type="dxa"/>
              <w:start w:w="120" w:type="dxa"/>
              <w:bottom w:w="85" w:type="dxa"/>
              <w:end w:w="120" w:type="dxa"/>
            </w:tcMar>
            <w:vAlign w:val="center"/>
          </w:tcPr>
          <w:p>
            <w:pPr>
              <w:spacing w:after="0" w:line="240" w:lineRule="auto"/>
              <w:jc w:val="center"/>
            </w:pPr>
            <w:r>
              <w:rPr>
                <w:rFonts w:ascii="Calibri" w:hAnsi="Calibri"/>
                <w:sz w:val="18"/>
              </w:rPr>
              <w:t>138</w:t>
            </w:r>
          </w:p>
        </w:tc>
      </w:tr>
      <w:tr>
        <w:trPr>
          <w:cantSplit/>
        </w:trPr>
        <w:tc>
          <w:tcPr>
            <w:tcW w:type="dxa" w:w="700"/>
            <w:tcMar>
              <w:top w:w="85" w:type="dxa"/>
              <w:start w:w="120" w:type="dxa"/>
              <w:bottom w:w="85" w:type="dxa"/>
              <w:end w:w="120" w:type="dxa"/>
            </w:tcMar>
            <w:vAlign w:val="center"/>
          </w:tcPr>
          <w:p>
            <w:pPr>
              <w:spacing w:after="0" w:line="240" w:lineRule="auto"/>
              <w:jc w:val="center"/>
            </w:pPr>
            <w:r>
              <w:rPr>
                <w:rFonts w:ascii="Calibri" w:hAnsi="Calibri"/>
                <w:b/>
                <w:color w:val="2A8C82"/>
                <w:sz w:val="18"/>
              </w:rPr>
              <w:t>23</w:t>
            </w:r>
          </w:p>
        </w:tc>
        <w:tc>
          <w:tcPr>
            <w:tcW w:type="dxa" w:w="8148"/>
            <w:tcMar>
              <w:top w:w="85" w:type="dxa"/>
              <w:start w:w="120" w:type="dxa"/>
              <w:bottom w:w="85" w:type="dxa"/>
              <w:end w:w="120" w:type="dxa"/>
            </w:tcMar>
            <w:vAlign w:val="center"/>
          </w:tcPr>
          <w:p>
            <w:pPr>
              <w:spacing w:after="0" w:line="240" w:lineRule="auto"/>
              <w:jc w:val="left"/>
            </w:pPr>
            <w:hyperlink w:anchor="chapter_23" w:history="1">
              <w:r>
                <w:rPr>
                  <w:color w:val="246B8E"/>
                  <w:u w:val="single"/>
                </w:rPr>
                <w:t>Tratamiento antipsicótico: elección, respuesta, efectos adversos y monitorización</w:t>
              </w:r>
            </w:hyperlink>
          </w:p>
        </w:tc>
        <w:tc>
          <w:tcPr>
            <w:tcW w:type="dxa" w:w="800"/>
            <w:tcMar>
              <w:top w:w="85" w:type="dxa"/>
              <w:start w:w="120" w:type="dxa"/>
              <w:bottom w:w="85" w:type="dxa"/>
              <w:end w:w="120" w:type="dxa"/>
            </w:tcMar>
            <w:vAlign w:val="center"/>
          </w:tcPr>
          <w:p>
            <w:pPr>
              <w:spacing w:after="0" w:line="240" w:lineRule="auto"/>
              <w:jc w:val="center"/>
            </w:pPr>
            <w:r>
              <w:rPr>
                <w:rFonts w:ascii="Calibri" w:hAnsi="Calibri"/>
                <w:sz w:val="18"/>
              </w:rPr>
              <w:t>144</w:t>
            </w:r>
          </w:p>
        </w:tc>
      </w:tr>
      <w:tr>
        <w:trPr>
          <w:cantSplit/>
        </w:trPr>
        <w:tc>
          <w:tcPr>
            <w:tcW w:type="dxa" w:w="700"/>
            <w:shd w:fill="EAF3F7"/>
            <w:tcMar>
              <w:top w:w="85" w:type="dxa"/>
              <w:start w:w="120" w:type="dxa"/>
              <w:bottom w:w="85" w:type="dxa"/>
              <w:end w:w="120" w:type="dxa"/>
            </w:tcMar>
            <w:vAlign w:val="center"/>
          </w:tcPr>
          <w:p>
            <w:pPr>
              <w:spacing w:after="0" w:line="240" w:lineRule="auto"/>
              <w:jc w:val="center"/>
            </w:pPr>
            <w:r>
              <w:rPr>
                <w:rFonts w:ascii="Calibri" w:hAnsi="Calibri"/>
                <w:b/>
                <w:color w:val="2A8C82"/>
                <w:sz w:val="18"/>
              </w:rPr>
              <w:t>24</w:t>
            </w:r>
          </w:p>
        </w:tc>
        <w:tc>
          <w:tcPr>
            <w:tcW w:type="dxa" w:w="8148"/>
            <w:shd w:fill="EAF3F7"/>
            <w:tcMar>
              <w:top w:w="85" w:type="dxa"/>
              <w:start w:w="120" w:type="dxa"/>
              <w:bottom w:w="85" w:type="dxa"/>
              <w:end w:w="120" w:type="dxa"/>
            </w:tcMar>
            <w:vAlign w:val="center"/>
          </w:tcPr>
          <w:p>
            <w:pPr>
              <w:spacing w:after="0" w:line="240" w:lineRule="auto"/>
              <w:jc w:val="left"/>
            </w:pPr>
            <w:hyperlink w:anchor="chapter_24" w:history="1">
              <w:r>
                <w:rPr>
                  <w:color w:val="246B8E"/>
                  <w:u w:val="single"/>
                </w:rPr>
                <w:t>Esquizofrenia resistente y clozapina</w:t>
              </w:r>
            </w:hyperlink>
          </w:p>
        </w:tc>
        <w:tc>
          <w:tcPr>
            <w:tcW w:type="dxa" w:w="800"/>
            <w:shd w:fill="EAF3F7"/>
            <w:tcMar>
              <w:top w:w="85" w:type="dxa"/>
              <w:start w:w="120" w:type="dxa"/>
              <w:bottom w:w="85" w:type="dxa"/>
              <w:end w:w="120" w:type="dxa"/>
            </w:tcMar>
            <w:vAlign w:val="center"/>
          </w:tcPr>
          <w:p>
            <w:pPr>
              <w:spacing w:after="0" w:line="240" w:lineRule="auto"/>
              <w:jc w:val="center"/>
            </w:pPr>
            <w:r>
              <w:rPr>
                <w:rFonts w:ascii="Calibri" w:hAnsi="Calibri"/>
                <w:sz w:val="18"/>
              </w:rPr>
              <w:t>150</w:t>
            </w:r>
          </w:p>
        </w:tc>
      </w:tr>
      <w:tr>
        <w:trPr>
          <w:cantSplit/>
        </w:trPr>
        <w:tc>
          <w:tcPr>
            <w:tcW w:type="dxa" w:w="700"/>
            <w:tcMar>
              <w:top w:w="85" w:type="dxa"/>
              <w:start w:w="120" w:type="dxa"/>
              <w:bottom w:w="85" w:type="dxa"/>
              <w:end w:w="120" w:type="dxa"/>
            </w:tcMar>
            <w:vAlign w:val="center"/>
          </w:tcPr>
          <w:p>
            <w:pPr>
              <w:spacing w:after="0" w:line="240" w:lineRule="auto"/>
              <w:jc w:val="center"/>
            </w:pPr>
            <w:r>
              <w:rPr>
                <w:rFonts w:ascii="Calibri" w:hAnsi="Calibri"/>
                <w:b/>
                <w:color w:val="2A8C82"/>
                <w:sz w:val="18"/>
              </w:rPr>
              <w:t>25</w:t>
            </w:r>
          </w:p>
        </w:tc>
        <w:tc>
          <w:tcPr>
            <w:tcW w:type="dxa" w:w="8148"/>
            <w:tcMar>
              <w:top w:w="85" w:type="dxa"/>
              <w:start w:w="120" w:type="dxa"/>
              <w:bottom w:w="85" w:type="dxa"/>
              <w:end w:w="120" w:type="dxa"/>
            </w:tcMar>
            <w:vAlign w:val="center"/>
          </w:tcPr>
          <w:p>
            <w:pPr>
              <w:spacing w:after="0" w:line="240" w:lineRule="auto"/>
              <w:jc w:val="left"/>
            </w:pPr>
            <w:hyperlink w:anchor="chapter_25" w:history="1">
              <w:r>
                <w:rPr>
                  <w:color w:val="246B8E"/>
                  <w:u w:val="single"/>
                </w:rPr>
                <w:t>Recuperación en psicosis: recaídas, rehabilitación y continuidad de cuidados</w:t>
              </w:r>
            </w:hyperlink>
          </w:p>
        </w:tc>
        <w:tc>
          <w:tcPr>
            <w:tcW w:type="dxa" w:w="800"/>
            <w:tcMar>
              <w:top w:w="85" w:type="dxa"/>
              <w:start w:w="120" w:type="dxa"/>
              <w:bottom w:w="85" w:type="dxa"/>
              <w:end w:w="120" w:type="dxa"/>
            </w:tcMar>
            <w:vAlign w:val="center"/>
          </w:tcPr>
          <w:p>
            <w:pPr>
              <w:spacing w:after="0" w:line="240" w:lineRule="auto"/>
              <w:jc w:val="center"/>
            </w:pPr>
            <w:r>
              <w:rPr>
                <w:rFonts w:ascii="Calibri" w:hAnsi="Calibri"/>
                <w:sz w:val="18"/>
              </w:rPr>
              <w:t>156</w:t>
            </w:r>
          </w:p>
        </w:tc>
      </w:tr>
      <w:tr>
        <w:trPr>
          <w:cantSplit/>
        </w:trPr>
        <w:tc>
          <w:tcPr>
            <w:tcW w:type="dxa" w:w="700"/>
            <w:shd w:fill="EAF3F7"/>
            <w:tcMar>
              <w:top w:w="85" w:type="dxa"/>
              <w:start w:w="120" w:type="dxa"/>
              <w:bottom w:w="85" w:type="dxa"/>
              <w:end w:w="120" w:type="dxa"/>
            </w:tcMar>
            <w:vAlign w:val="center"/>
          </w:tcPr>
          <w:p>
            <w:pPr>
              <w:spacing w:after="0" w:line="240" w:lineRule="auto"/>
              <w:jc w:val="center"/>
            </w:pPr>
            <w:r>
              <w:rPr>
                <w:rFonts w:ascii="Calibri" w:hAnsi="Calibri"/>
                <w:b/>
                <w:color w:val="2A8C82"/>
                <w:sz w:val="18"/>
              </w:rPr>
              <w:t>26</w:t>
            </w:r>
          </w:p>
        </w:tc>
        <w:tc>
          <w:tcPr>
            <w:tcW w:type="dxa" w:w="8148"/>
            <w:shd w:fill="EAF3F7"/>
            <w:tcMar>
              <w:top w:w="85" w:type="dxa"/>
              <w:start w:w="120" w:type="dxa"/>
              <w:bottom w:w="85" w:type="dxa"/>
              <w:end w:w="120" w:type="dxa"/>
            </w:tcMar>
            <w:vAlign w:val="center"/>
          </w:tcPr>
          <w:p>
            <w:pPr>
              <w:spacing w:after="0" w:line="240" w:lineRule="auto"/>
              <w:jc w:val="left"/>
            </w:pPr>
            <w:hyperlink w:anchor="chapter_26" w:history="1">
              <w:r>
                <w:rPr>
                  <w:color w:val="246B8E"/>
                  <w:u w:val="single"/>
                </w:rPr>
                <w:t>Trastorno de pánico y agorafobia</w:t>
              </w:r>
            </w:hyperlink>
          </w:p>
        </w:tc>
        <w:tc>
          <w:tcPr>
            <w:tcW w:type="dxa" w:w="800"/>
            <w:shd w:fill="EAF3F7"/>
            <w:tcMar>
              <w:top w:w="85" w:type="dxa"/>
              <w:start w:w="120" w:type="dxa"/>
              <w:bottom w:w="85" w:type="dxa"/>
              <w:end w:w="120" w:type="dxa"/>
            </w:tcMar>
            <w:vAlign w:val="center"/>
          </w:tcPr>
          <w:p>
            <w:pPr>
              <w:spacing w:after="0" w:line="240" w:lineRule="auto"/>
              <w:jc w:val="center"/>
            </w:pPr>
            <w:r>
              <w:rPr>
                <w:rFonts w:ascii="Calibri" w:hAnsi="Calibri"/>
                <w:sz w:val="18"/>
              </w:rPr>
              <w:t>162</w:t>
            </w:r>
          </w:p>
        </w:tc>
      </w:tr>
      <w:tr>
        <w:trPr>
          <w:cantSplit/>
        </w:trPr>
        <w:tc>
          <w:tcPr>
            <w:tcW w:type="dxa" w:w="700"/>
            <w:tcMar>
              <w:top w:w="85" w:type="dxa"/>
              <w:start w:w="120" w:type="dxa"/>
              <w:bottom w:w="85" w:type="dxa"/>
              <w:end w:w="120" w:type="dxa"/>
            </w:tcMar>
            <w:vAlign w:val="center"/>
          </w:tcPr>
          <w:p>
            <w:pPr>
              <w:spacing w:after="0" w:line="240" w:lineRule="auto"/>
              <w:jc w:val="center"/>
            </w:pPr>
            <w:r>
              <w:rPr>
                <w:rFonts w:ascii="Calibri" w:hAnsi="Calibri"/>
                <w:b/>
                <w:color w:val="2A8C82"/>
                <w:sz w:val="18"/>
              </w:rPr>
              <w:t>27</w:t>
            </w:r>
          </w:p>
        </w:tc>
        <w:tc>
          <w:tcPr>
            <w:tcW w:type="dxa" w:w="8148"/>
            <w:tcMar>
              <w:top w:w="85" w:type="dxa"/>
              <w:start w:w="120" w:type="dxa"/>
              <w:bottom w:w="85" w:type="dxa"/>
              <w:end w:w="120" w:type="dxa"/>
            </w:tcMar>
            <w:vAlign w:val="center"/>
          </w:tcPr>
          <w:p>
            <w:pPr>
              <w:spacing w:after="0" w:line="240" w:lineRule="auto"/>
              <w:jc w:val="left"/>
            </w:pPr>
            <w:hyperlink w:anchor="chapter_27" w:history="1">
              <w:r>
                <w:rPr>
                  <w:color w:val="246B8E"/>
                  <w:u w:val="single"/>
                </w:rPr>
                <w:t>Trastorno de ansiedad generalizada</w:t>
              </w:r>
            </w:hyperlink>
          </w:p>
        </w:tc>
        <w:tc>
          <w:tcPr>
            <w:tcW w:type="dxa" w:w="800"/>
            <w:tcMar>
              <w:top w:w="85" w:type="dxa"/>
              <w:start w:w="120" w:type="dxa"/>
              <w:bottom w:w="85" w:type="dxa"/>
              <w:end w:w="120" w:type="dxa"/>
            </w:tcMar>
            <w:vAlign w:val="center"/>
          </w:tcPr>
          <w:p>
            <w:pPr>
              <w:spacing w:after="0" w:line="240" w:lineRule="auto"/>
              <w:jc w:val="center"/>
            </w:pPr>
            <w:r>
              <w:rPr>
                <w:rFonts w:ascii="Calibri" w:hAnsi="Calibri"/>
                <w:sz w:val="18"/>
              </w:rPr>
              <w:t>168</w:t>
            </w:r>
          </w:p>
        </w:tc>
      </w:tr>
      <w:tr>
        <w:trPr>
          <w:cantSplit/>
        </w:trPr>
        <w:tc>
          <w:tcPr>
            <w:tcW w:type="dxa" w:w="700"/>
            <w:shd w:fill="EAF3F7"/>
            <w:tcMar>
              <w:top w:w="85" w:type="dxa"/>
              <w:start w:w="120" w:type="dxa"/>
              <w:bottom w:w="85" w:type="dxa"/>
              <w:end w:w="120" w:type="dxa"/>
            </w:tcMar>
            <w:vAlign w:val="center"/>
          </w:tcPr>
          <w:p>
            <w:pPr>
              <w:spacing w:after="0" w:line="240" w:lineRule="auto"/>
              <w:jc w:val="center"/>
            </w:pPr>
            <w:r>
              <w:rPr>
                <w:rFonts w:ascii="Calibri" w:hAnsi="Calibri"/>
                <w:b/>
                <w:color w:val="2A8C82"/>
                <w:sz w:val="18"/>
              </w:rPr>
              <w:t>28</w:t>
            </w:r>
          </w:p>
        </w:tc>
        <w:tc>
          <w:tcPr>
            <w:tcW w:type="dxa" w:w="8148"/>
            <w:shd w:fill="EAF3F7"/>
            <w:tcMar>
              <w:top w:w="85" w:type="dxa"/>
              <w:start w:w="120" w:type="dxa"/>
              <w:bottom w:w="85" w:type="dxa"/>
              <w:end w:w="120" w:type="dxa"/>
            </w:tcMar>
            <w:vAlign w:val="center"/>
          </w:tcPr>
          <w:p>
            <w:pPr>
              <w:spacing w:after="0" w:line="240" w:lineRule="auto"/>
              <w:jc w:val="left"/>
            </w:pPr>
            <w:hyperlink w:anchor="chapter_28" w:history="1">
              <w:r>
                <w:rPr>
                  <w:color w:val="246B8E"/>
                  <w:u w:val="single"/>
                </w:rPr>
                <w:t>Ansiedad social y fobias específicas</w:t>
              </w:r>
            </w:hyperlink>
          </w:p>
        </w:tc>
        <w:tc>
          <w:tcPr>
            <w:tcW w:type="dxa" w:w="800"/>
            <w:shd w:fill="EAF3F7"/>
            <w:tcMar>
              <w:top w:w="85" w:type="dxa"/>
              <w:start w:w="120" w:type="dxa"/>
              <w:bottom w:w="85" w:type="dxa"/>
              <w:end w:w="120" w:type="dxa"/>
            </w:tcMar>
            <w:vAlign w:val="center"/>
          </w:tcPr>
          <w:p>
            <w:pPr>
              <w:spacing w:after="0" w:line="240" w:lineRule="auto"/>
              <w:jc w:val="center"/>
            </w:pPr>
            <w:r>
              <w:rPr>
                <w:rFonts w:ascii="Calibri" w:hAnsi="Calibri"/>
                <w:sz w:val="18"/>
              </w:rPr>
              <w:t>174</w:t>
            </w:r>
          </w:p>
        </w:tc>
      </w:tr>
      <w:tr>
        <w:trPr>
          <w:cantSplit/>
        </w:trPr>
        <w:tc>
          <w:tcPr>
            <w:tcW w:type="dxa" w:w="700"/>
            <w:tcMar>
              <w:top w:w="85" w:type="dxa"/>
              <w:start w:w="120" w:type="dxa"/>
              <w:bottom w:w="85" w:type="dxa"/>
              <w:end w:w="120" w:type="dxa"/>
            </w:tcMar>
            <w:vAlign w:val="center"/>
          </w:tcPr>
          <w:p>
            <w:pPr>
              <w:spacing w:after="0" w:line="240" w:lineRule="auto"/>
              <w:jc w:val="center"/>
            </w:pPr>
            <w:r>
              <w:rPr>
                <w:rFonts w:ascii="Calibri" w:hAnsi="Calibri"/>
                <w:b/>
                <w:color w:val="2A8C82"/>
                <w:sz w:val="18"/>
              </w:rPr>
              <w:t>29</w:t>
            </w:r>
          </w:p>
        </w:tc>
        <w:tc>
          <w:tcPr>
            <w:tcW w:type="dxa" w:w="8148"/>
            <w:tcMar>
              <w:top w:w="85" w:type="dxa"/>
              <w:start w:w="120" w:type="dxa"/>
              <w:bottom w:w="85" w:type="dxa"/>
              <w:end w:w="120" w:type="dxa"/>
            </w:tcMar>
            <w:vAlign w:val="center"/>
          </w:tcPr>
          <w:p>
            <w:pPr>
              <w:spacing w:after="0" w:line="240" w:lineRule="auto"/>
              <w:jc w:val="left"/>
            </w:pPr>
            <w:hyperlink w:anchor="chapter_29" w:history="1">
              <w:r>
                <w:rPr>
                  <w:color w:val="246B8E"/>
                  <w:u w:val="single"/>
                </w:rPr>
                <w:t>Trastorno obsesivo-compulsivo y trastornos relacionados</w:t>
              </w:r>
            </w:hyperlink>
          </w:p>
        </w:tc>
        <w:tc>
          <w:tcPr>
            <w:tcW w:type="dxa" w:w="800"/>
            <w:tcMar>
              <w:top w:w="85" w:type="dxa"/>
              <w:start w:w="120" w:type="dxa"/>
              <w:bottom w:w="85" w:type="dxa"/>
              <w:end w:w="120" w:type="dxa"/>
            </w:tcMar>
            <w:vAlign w:val="center"/>
          </w:tcPr>
          <w:p>
            <w:pPr>
              <w:spacing w:after="0" w:line="240" w:lineRule="auto"/>
              <w:jc w:val="center"/>
            </w:pPr>
            <w:r>
              <w:rPr>
                <w:rFonts w:ascii="Calibri" w:hAnsi="Calibri"/>
                <w:sz w:val="18"/>
              </w:rPr>
              <w:t>181</w:t>
            </w:r>
          </w:p>
        </w:tc>
      </w:tr>
      <w:tr>
        <w:trPr>
          <w:cantSplit/>
        </w:trPr>
        <w:tc>
          <w:tcPr>
            <w:tcW w:type="dxa" w:w="700"/>
            <w:shd w:fill="EAF3F7"/>
            <w:tcMar>
              <w:top w:w="85" w:type="dxa"/>
              <w:start w:w="120" w:type="dxa"/>
              <w:bottom w:w="85" w:type="dxa"/>
              <w:end w:w="120" w:type="dxa"/>
            </w:tcMar>
            <w:vAlign w:val="center"/>
          </w:tcPr>
          <w:p>
            <w:pPr>
              <w:spacing w:after="0" w:line="240" w:lineRule="auto"/>
              <w:jc w:val="center"/>
            </w:pPr>
            <w:r>
              <w:rPr>
                <w:rFonts w:ascii="Calibri" w:hAnsi="Calibri"/>
                <w:b/>
                <w:color w:val="2A8C82"/>
                <w:sz w:val="18"/>
              </w:rPr>
              <w:t>30</w:t>
            </w:r>
          </w:p>
        </w:tc>
        <w:tc>
          <w:tcPr>
            <w:tcW w:type="dxa" w:w="8148"/>
            <w:shd w:fill="EAF3F7"/>
            <w:tcMar>
              <w:top w:w="85" w:type="dxa"/>
              <w:start w:w="120" w:type="dxa"/>
              <w:bottom w:w="85" w:type="dxa"/>
              <w:end w:w="120" w:type="dxa"/>
            </w:tcMar>
            <w:vAlign w:val="center"/>
          </w:tcPr>
          <w:p>
            <w:pPr>
              <w:spacing w:after="0" w:line="240" w:lineRule="auto"/>
              <w:jc w:val="left"/>
            </w:pPr>
            <w:hyperlink w:anchor="chapter_30" w:history="1">
              <w:r>
                <w:rPr>
                  <w:color w:val="246B8E"/>
                  <w:u w:val="single"/>
                </w:rPr>
                <w:t>Trauma, trastorno por estrés agudo, TEPT y disociación</w:t>
              </w:r>
            </w:hyperlink>
          </w:p>
        </w:tc>
        <w:tc>
          <w:tcPr>
            <w:tcW w:type="dxa" w:w="800"/>
            <w:shd w:fill="EAF3F7"/>
            <w:tcMar>
              <w:top w:w="85" w:type="dxa"/>
              <w:start w:w="120" w:type="dxa"/>
              <w:bottom w:w="85" w:type="dxa"/>
              <w:end w:w="120" w:type="dxa"/>
            </w:tcMar>
            <w:vAlign w:val="center"/>
          </w:tcPr>
          <w:p>
            <w:pPr>
              <w:spacing w:after="0" w:line="240" w:lineRule="auto"/>
              <w:jc w:val="center"/>
            </w:pPr>
            <w:r>
              <w:rPr>
                <w:rFonts w:ascii="Calibri" w:hAnsi="Calibri"/>
                <w:sz w:val="18"/>
              </w:rPr>
              <w:t>187</w:t>
            </w:r>
          </w:p>
        </w:tc>
      </w:tr>
      <w:tr>
        <w:trPr>
          <w:cantSplit/>
        </w:trPr>
        <w:tc>
          <w:tcPr>
            <w:tcW w:type="dxa" w:w="700"/>
            <w:tcMar>
              <w:top w:w="85" w:type="dxa"/>
              <w:start w:w="120" w:type="dxa"/>
              <w:bottom w:w="85" w:type="dxa"/>
              <w:end w:w="120" w:type="dxa"/>
            </w:tcMar>
            <w:vAlign w:val="center"/>
          </w:tcPr>
          <w:p>
            <w:pPr>
              <w:spacing w:after="0" w:line="240" w:lineRule="auto"/>
              <w:jc w:val="center"/>
            </w:pPr>
            <w:r>
              <w:rPr>
                <w:rFonts w:ascii="Calibri" w:hAnsi="Calibri"/>
                <w:b/>
                <w:color w:val="2A8C82"/>
                <w:sz w:val="18"/>
              </w:rPr>
              <w:t>31</w:t>
            </w:r>
          </w:p>
        </w:tc>
        <w:tc>
          <w:tcPr>
            <w:tcW w:type="dxa" w:w="8148"/>
            <w:tcMar>
              <w:top w:w="85" w:type="dxa"/>
              <w:start w:w="120" w:type="dxa"/>
              <w:bottom w:w="85" w:type="dxa"/>
              <w:end w:w="120" w:type="dxa"/>
            </w:tcMar>
            <w:vAlign w:val="center"/>
          </w:tcPr>
          <w:p>
            <w:pPr>
              <w:spacing w:after="0" w:line="240" w:lineRule="auto"/>
              <w:jc w:val="left"/>
            </w:pPr>
            <w:hyperlink w:anchor="chapter_31" w:history="1">
              <w:r>
                <w:rPr>
                  <w:color w:val="246B8E"/>
                  <w:u w:val="single"/>
                </w:rPr>
                <w:t>Trastornos por consumo de sustancias: evaluación, formulación y tratamiento inicial</w:t>
              </w:r>
            </w:hyperlink>
          </w:p>
        </w:tc>
        <w:tc>
          <w:tcPr>
            <w:tcW w:type="dxa" w:w="800"/>
            <w:tcMar>
              <w:top w:w="85" w:type="dxa"/>
              <w:start w:w="120" w:type="dxa"/>
              <w:bottom w:w="85" w:type="dxa"/>
              <w:end w:w="120" w:type="dxa"/>
            </w:tcMar>
            <w:vAlign w:val="center"/>
          </w:tcPr>
          <w:p>
            <w:pPr>
              <w:spacing w:after="0" w:line="240" w:lineRule="auto"/>
              <w:jc w:val="center"/>
            </w:pPr>
            <w:r>
              <w:rPr>
                <w:rFonts w:ascii="Calibri" w:hAnsi="Calibri"/>
                <w:sz w:val="18"/>
              </w:rPr>
              <w:t>194</w:t>
            </w:r>
          </w:p>
        </w:tc>
      </w:tr>
      <w:tr>
        <w:trPr>
          <w:cantSplit/>
        </w:trPr>
        <w:tc>
          <w:tcPr>
            <w:tcW w:type="dxa" w:w="700"/>
            <w:shd w:fill="EAF3F7"/>
            <w:tcMar>
              <w:top w:w="85" w:type="dxa"/>
              <w:start w:w="120" w:type="dxa"/>
              <w:bottom w:w="85" w:type="dxa"/>
              <w:end w:w="120" w:type="dxa"/>
            </w:tcMar>
            <w:vAlign w:val="center"/>
          </w:tcPr>
          <w:p>
            <w:pPr>
              <w:spacing w:after="0" w:line="240" w:lineRule="auto"/>
              <w:jc w:val="center"/>
            </w:pPr>
            <w:r>
              <w:rPr>
                <w:rFonts w:ascii="Calibri" w:hAnsi="Calibri"/>
                <w:b/>
                <w:color w:val="2A8C82"/>
                <w:sz w:val="18"/>
              </w:rPr>
              <w:t>32</w:t>
            </w:r>
          </w:p>
        </w:tc>
        <w:tc>
          <w:tcPr>
            <w:tcW w:type="dxa" w:w="8148"/>
            <w:shd w:fill="EAF3F7"/>
            <w:tcMar>
              <w:top w:w="85" w:type="dxa"/>
              <w:start w:w="120" w:type="dxa"/>
              <w:bottom w:w="85" w:type="dxa"/>
              <w:end w:w="120" w:type="dxa"/>
            </w:tcMar>
            <w:vAlign w:val="center"/>
          </w:tcPr>
          <w:p>
            <w:pPr>
              <w:spacing w:after="0" w:line="240" w:lineRule="auto"/>
              <w:jc w:val="left"/>
            </w:pPr>
            <w:hyperlink w:anchor="chapter_32" w:history="1">
              <w:r>
                <w:rPr>
                  <w:color w:val="246B8E"/>
                  <w:u w:val="single"/>
                </w:rPr>
                <w:t>Alcohol: intoxicación, abstinencia, dependencia y tratamiento longitudinal</w:t>
              </w:r>
            </w:hyperlink>
          </w:p>
        </w:tc>
        <w:tc>
          <w:tcPr>
            <w:tcW w:type="dxa" w:w="800"/>
            <w:shd w:fill="EAF3F7"/>
            <w:tcMar>
              <w:top w:w="85" w:type="dxa"/>
              <w:start w:w="120" w:type="dxa"/>
              <w:bottom w:w="85" w:type="dxa"/>
              <w:end w:w="120" w:type="dxa"/>
            </w:tcMar>
            <w:vAlign w:val="center"/>
          </w:tcPr>
          <w:p>
            <w:pPr>
              <w:spacing w:after="0" w:line="240" w:lineRule="auto"/>
              <w:jc w:val="center"/>
            </w:pPr>
            <w:r>
              <w:rPr>
                <w:rFonts w:ascii="Calibri" w:hAnsi="Calibri"/>
                <w:sz w:val="18"/>
              </w:rPr>
              <w:t>200</w:t>
            </w:r>
          </w:p>
        </w:tc>
      </w:tr>
      <w:tr>
        <w:trPr>
          <w:cantSplit/>
        </w:trPr>
        <w:tc>
          <w:tcPr>
            <w:tcW w:type="dxa" w:w="700"/>
            <w:tcMar>
              <w:top w:w="85" w:type="dxa"/>
              <w:start w:w="120" w:type="dxa"/>
              <w:bottom w:w="85" w:type="dxa"/>
              <w:end w:w="120" w:type="dxa"/>
            </w:tcMar>
            <w:vAlign w:val="center"/>
          </w:tcPr>
          <w:p>
            <w:pPr>
              <w:spacing w:after="0" w:line="240" w:lineRule="auto"/>
              <w:jc w:val="center"/>
            </w:pPr>
            <w:r>
              <w:rPr>
                <w:rFonts w:ascii="Calibri" w:hAnsi="Calibri"/>
                <w:b/>
                <w:color w:val="2A8C82"/>
                <w:sz w:val="18"/>
              </w:rPr>
              <w:t>33</w:t>
            </w:r>
          </w:p>
        </w:tc>
        <w:tc>
          <w:tcPr>
            <w:tcW w:type="dxa" w:w="8148"/>
            <w:tcMar>
              <w:top w:w="85" w:type="dxa"/>
              <w:start w:w="120" w:type="dxa"/>
              <w:bottom w:w="85" w:type="dxa"/>
              <w:end w:w="120" w:type="dxa"/>
            </w:tcMar>
            <w:vAlign w:val="center"/>
          </w:tcPr>
          <w:p>
            <w:pPr>
              <w:spacing w:after="0" w:line="240" w:lineRule="auto"/>
              <w:jc w:val="left"/>
            </w:pPr>
            <w:hyperlink w:anchor="chapter_33" w:history="1">
              <w:r>
                <w:rPr>
                  <w:color w:val="246B8E"/>
                  <w:u w:val="single"/>
                </w:rPr>
                <w:t>Cannabis: clínica, dependencia y relación con psicosis</w:t>
              </w:r>
            </w:hyperlink>
          </w:p>
        </w:tc>
        <w:tc>
          <w:tcPr>
            <w:tcW w:type="dxa" w:w="800"/>
            <w:tcMar>
              <w:top w:w="85" w:type="dxa"/>
              <w:start w:w="120" w:type="dxa"/>
              <w:bottom w:w="85" w:type="dxa"/>
              <w:end w:w="120" w:type="dxa"/>
            </w:tcMar>
            <w:vAlign w:val="center"/>
          </w:tcPr>
          <w:p>
            <w:pPr>
              <w:spacing w:after="0" w:line="240" w:lineRule="auto"/>
              <w:jc w:val="center"/>
            </w:pPr>
            <w:r>
              <w:rPr>
                <w:rFonts w:ascii="Calibri" w:hAnsi="Calibri"/>
                <w:sz w:val="18"/>
              </w:rPr>
              <w:t>206</w:t>
            </w:r>
          </w:p>
        </w:tc>
      </w:tr>
      <w:tr>
        <w:trPr>
          <w:cantSplit/>
        </w:trPr>
        <w:tc>
          <w:tcPr>
            <w:tcW w:type="dxa" w:w="700"/>
            <w:shd w:fill="EAF3F7"/>
            <w:tcMar>
              <w:top w:w="85" w:type="dxa"/>
              <w:start w:w="120" w:type="dxa"/>
              <w:bottom w:w="85" w:type="dxa"/>
              <w:end w:w="120" w:type="dxa"/>
            </w:tcMar>
            <w:vAlign w:val="center"/>
          </w:tcPr>
          <w:p>
            <w:pPr>
              <w:spacing w:after="0" w:line="240" w:lineRule="auto"/>
              <w:jc w:val="center"/>
            </w:pPr>
            <w:r>
              <w:rPr>
                <w:rFonts w:ascii="Calibri" w:hAnsi="Calibri"/>
                <w:b/>
                <w:color w:val="2A8C82"/>
                <w:sz w:val="18"/>
              </w:rPr>
              <w:t>34</w:t>
            </w:r>
          </w:p>
        </w:tc>
        <w:tc>
          <w:tcPr>
            <w:tcW w:type="dxa" w:w="8148"/>
            <w:shd w:fill="EAF3F7"/>
            <w:tcMar>
              <w:top w:w="85" w:type="dxa"/>
              <w:start w:w="120" w:type="dxa"/>
              <w:bottom w:w="85" w:type="dxa"/>
              <w:end w:w="120" w:type="dxa"/>
            </w:tcMar>
            <w:vAlign w:val="center"/>
          </w:tcPr>
          <w:p>
            <w:pPr>
              <w:spacing w:after="0" w:line="240" w:lineRule="auto"/>
              <w:jc w:val="left"/>
            </w:pPr>
            <w:hyperlink w:anchor="chapter_34" w:history="1">
              <w:r>
                <w:rPr>
                  <w:color w:val="246B8E"/>
                  <w:u w:val="single"/>
                </w:rPr>
                <w:t>Cocaína, anfetaminas, MDMA, alucinógenos y nuevas sustancias psicoactivas</w:t>
              </w:r>
            </w:hyperlink>
          </w:p>
        </w:tc>
        <w:tc>
          <w:tcPr>
            <w:tcW w:type="dxa" w:w="800"/>
            <w:shd w:fill="EAF3F7"/>
            <w:tcMar>
              <w:top w:w="85" w:type="dxa"/>
              <w:start w:w="120" w:type="dxa"/>
              <w:bottom w:w="85" w:type="dxa"/>
              <w:end w:w="120" w:type="dxa"/>
            </w:tcMar>
            <w:vAlign w:val="center"/>
          </w:tcPr>
          <w:p>
            <w:pPr>
              <w:spacing w:after="0" w:line="240" w:lineRule="auto"/>
              <w:jc w:val="center"/>
            </w:pPr>
            <w:r>
              <w:rPr>
                <w:rFonts w:ascii="Calibri" w:hAnsi="Calibri"/>
                <w:sz w:val="18"/>
              </w:rPr>
              <w:t>212</w:t>
            </w:r>
          </w:p>
        </w:tc>
      </w:tr>
      <w:tr>
        <w:trPr>
          <w:cantSplit/>
        </w:trPr>
        <w:tc>
          <w:tcPr>
            <w:tcW w:type="dxa" w:w="700"/>
            <w:tcMar>
              <w:top w:w="85" w:type="dxa"/>
              <w:start w:w="120" w:type="dxa"/>
              <w:bottom w:w="85" w:type="dxa"/>
              <w:end w:w="120" w:type="dxa"/>
            </w:tcMar>
            <w:vAlign w:val="center"/>
          </w:tcPr>
          <w:p>
            <w:pPr>
              <w:spacing w:after="0" w:line="240" w:lineRule="auto"/>
              <w:jc w:val="center"/>
            </w:pPr>
            <w:r>
              <w:rPr>
                <w:rFonts w:ascii="Calibri" w:hAnsi="Calibri"/>
                <w:b/>
                <w:color w:val="2A8C82"/>
                <w:sz w:val="18"/>
              </w:rPr>
              <w:t>35</w:t>
            </w:r>
          </w:p>
        </w:tc>
        <w:tc>
          <w:tcPr>
            <w:tcW w:type="dxa" w:w="8148"/>
            <w:tcMar>
              <w:top w:w="85" w:type="dxa"/>
              <w:start w:w="120" w:type="dxa"/>
              <w:bottom w:w="85" w:type="dxa"/>
              <w:end w:w="120" w:type="dxa"/>
            </w:tcMar>
            <w:vAlign w:val="center"/>
          </w:tcPr>
          <w:p>
            <w:pPr>
              <w:spacing w:after="0" w:line="240" w:lineRule="auto"/>
              <w:jc w:val="left"/>
            </w:pPr>
            <w:hyperlink w:anchor="chapter_35" w:history="1">
              <w:r>
                <w:rPr>
                  <w:color w:val="246B8E"/>
                  <w:u w:val="single"/>
                </w:rPr>
                <w:t>Opioides, benzodiazepinas, otros sedantes y dependencia de nicotina</w:t>
              </w:r>
            </w:hyperlink>
          </w:p>
        </w:tc>
        <w:tc>
          <w:tcPr>
            <w:tcW w:type="dxa" w:w="800"/>
            <w:tcMar>
              <w:top w:w="85" w:type="dxa"/>
              <w:start w:w="120" w:type="dxa"/>
              <w:bottom w:w="85" w:type="dxa"/>
              <w:end w:w="120" w:type="dxa"/>
            </w:tcMar>
            <w:vAlign w:val="center"/>
          </w:tcPr>
          <w:p>
            <w:pPr>
              <w:spacing w:after="0" w:line="240" w:lineRule="auto"/>
              <w:jc w:val="center"/>
            </w:pPr>
            <w:r>
              <w:rPr>
                <w:rFonts w:ascii="Calibri" w:hAnsi="Calibri"/>
                <w:sz w:val="18"/>
              </w:rPr>
              <w:t>219</w:t>
            </w:r>
          </w:p>
        </w:tc>
      </w:tr>
      <w:tr>
        <w:trPr>
          <w:cantSplit/>
        </w:trPr>
        <w:tc>
          <w:tcPr>
            <w:tcW w:type="dxa" w:w="700"/>
            <w:shd w:fill="EAF3F7"/>
            <w:tcMar>
              <w:top w:w="85" w:type="dxa"/>
              <w:start w:w="120" w:type="dxa"/>
              <w:bottom w:w="85" w:type="dxa"/>
              <w:end w:w="120" w:type="dxa"/>
            </w:tcMar>
            <w:vAlign w:val="center"/>
          </w:tcPr>
          <w:p>
            <w:pPr>
              <w:spacing w:after="0" w:line="240" w:lineRule="auto"/>
              <w:jc w:val="center"/>
            </w:pPr>
            <w:r>
              <w:rPr>
                <w:rFonts w:ascii="Calibri" w:hAnsi="Calibri"/>
                <w:b/>
                <w:color w:val="2A8C82"/>
                <w:sz w:val="18"/>
              </w:rPr>
              <w:t>36</w:t>
            </w:r>
          </w:p>
        </w:tc>
        <w:tc>
          <w:tcPr>
            <w:tcW w:type="dxa" w:w="8148"/>
            <w:shd w:fill="EAF3F7"/>
            <w:tcMar>
              <w:top w:w="85" w:type="dxa"/>
              <w:start w:w="120" w:type="dxa"/>
              <w:bottom w:w="85" w:type="dxa"/>
              <w:end w:w="120" w:type="dxa"/>
            </w:tcMar>
            <w:vAlign w:val="center"/>
          </w:tcPr>
          <w:p>
            <w:pPr>
              <w:spacing w:after="0" w:line="240" w:lineRule="auto"/>
              <w:jc w:val="left"/>
            </w:pPr>
            <w:hyperlink w:anchor="chapter_36" w:history="1">
              <w:r>
                <w:rPr>
                  <w:color w:val="246B8E"/>
                  <w:u w:val="single"/>
                </w:rPr>
                <w:t>Trastornos de personalidad: evaluación dimensional y manejo clínico</w:t>
              </w:r>
            </w:hyperlink>
          </w:p>
        </w:tc>
        <w:tc>
          <w:tcPr>
            <w:tcW w:type="dxa" w:w="800"/>
            <w:shd w:fill="EAF3F7"/>
            <w:tcMar>
              <w:top w:w="85" w:type="dxa"/>
              <w:start w:w="120" w:type="dxa"/>
              <w:bottom w:w="85" w:type="dxa"/>
              <w:end w:w="120" w:type="dxa"/>
            </w:tcMar>
            <w:vAlign w:val="center"/>
          </w:tcPr>
          <w:p>
            <w:pPr>
              <w:spacing w:after="0" w:line="240" w:lineRule="auto"/>
              <w:jc w:val="center"/>
            </w:pPr>
            <w:r>
              <w:rPr>
                <w:rFonts w:ascii="Calibri" w:hAnsi="Calibri"/>
                <w:sz w:val="18"/>
              </w:rPr>
              <w:t>226</w:t>
            </w:r>
          </w:p>
        </w:tc>
      </w:tr>
      <w:tr>
        <w:trPr>
          <w:cantSplit/>
        </w:trPr>
        <w:tc>
          <w:tcPr>
            <w:tcW w:type="dxa" w:w="700"/>
            <w:tcMar>
              <w:top w:w="85" w:type="dxa"/>
              <w:start w:w="120" w:type="dxa"/>
              <w:bottom w:w="85" w:type="dxa"/>
              <w:end w:w="120" w:type="dxa"/>
            </w:tcMar>
            <w:vAlign w:val="center"/>
          </w:tcPr>
          <w:p>
            <w:pPr>
              <w:spacing w:after="0" w:line="240" w:lineRule="auto"/>
              <w:jc w:val="center"/>
            </w:pPr>
            <w:r>
              <w:rPr>
                <w:rFonts w:ascii="Calibri" w:hAnsi="Calibri"/>
                <w:b/>
                <w:color w:val="2A8C82"/>
                <w:sz w:val="18"/>
              </w:rPr>
              <w:t>37</w:t>
            </w:r>
          </w:p>
        </w:tc>
        <w:tc>
          <w:tcPr>
            <w:tcW w:type="dxa" w:w="8148"/>
            <w:tcMar>
              <w:top w:w="85" w:type="dxa"/>
              <w:start w:w="120" w:type="dxa"/>
              <w:bottom w:w="85" w:type="dxa"/>
              <w:end w:w="120" w:type="dxa"/>
            </w:tcMar>
            <w:vAlign w:val="center"/>
          </w:tcPr>
          <w:p>
            <w:pPr>
              <w:spacing w:after="0" w:line="240" w:lineRule="auto"/>
              <w:jc w:val="left"/>
            </w:pPr>
            <w:hyperlink w:anchor="chapter_37" w:history="1">
              <w:r>
                <w:rPr>
                  <w:color w:val="246B8E"/>
                  <w:u w:val="single"/>
                </w:rPr>
                <w:t>Trastorno límite de la personalidad: diagnóstico, crisis y tratamiento basado en evidencia</w:t>
              </w:r>
            </w:hyperlink>
          </w:p>
        </w:tc>
        <w:tc>
          <w:tcPr>
            <w:tcW w:type="dxa" w:w="800"/>
            <w:tcMar>
              <w:top w:w="85" w:type="dxa"/>
              <w:start w:w="120" w:type="dxa"/>
              <w:bottom w:w="85" w:type="dxa"/>
              <w:end w:w="120" w:type="dxa"/>
            </w:tcMar>
            <w:vAlign w:val="center"/>
          </w:tcPr>
          <w:p>
            <w:pPr>
              <w:spacing w:after="0" w:line="240" w:lineRule="auto"/>
              <w:jc w:val="center"/>
            </w:pPr>
            <w:r>
              <w:rPr>
                <w:rFonts w:ascii="Calibri" w:hAnsi="Calibri"/>
                <w:sz w:val="18"/>
              </w:rPr>
              <w:t>232</w:t>
            </w:r>
          </w:p>
        </w:tc>
      </w:tr>
      <w:tr>
        <w:trPr>
          <w:cantSplit/>
        </w:trPr>
        <w:tc>
          <w:tcPr>
            <w:tcW w:type="dxa" w:w="700"/>
            <w:shd w:fill="EAF3F7"/>
            <w:tcMar>
              <w:top w:w="85" w:type="dxa"/>
              <w:start w:w="120" w:type="dxa"/>
              <w:bottom w:w="85" w:type="dxa"/>
              <w:end w:w="120" w:type="dxa"/>
            </w:tcMar>
            <w:vAlign w:val="center"/>
          </w:tcPr>
          <w:p>
            <w:pPr>
              <w:spacing w:after="0" w:line="240" w:lineRule="auto"/>
              <w:jc w:val="center"/>
            </w:pPr>
            <w:r>
              <w:rPr>
                <w:rFonts w:ascii="Calibri" w:hAnsi="Calibri"/>
                <w:b/>
                <w:color w:val="2A8C82"/>
                <w:sz w:val="18"/>
              </w:rPr>
              <w:t>38</w:t>
            </w:r>
          </w:p>
        </w:tc>
        <w:tc>
          <w:tcPr>
            <w:tcW w:type="dxa" w:w="8148"/>
            <w:shd w:fill="EAF3F7"/>
            <w:tcMar>
              <w:top w:w="85" w:type="dxa"/>
              <w:start w:w="120" w:type="dxa"/>
              <w:bottom w:w="85" w:type="dxa"/>
              <w:end w:w="120" w:type="dxa"/>
            </w:tcMar>
            <w:vAlign w:val="center"/>
          </w:tcPr>
          <w:p>
            <w:pPr>
              <w:spacing w:after="0" w:line="240" w:lineRule="auto"/>
              <w:jc w:val="left"/>
            </w:pPr>
            <w:hyperlink w:anchor="chapter_38" w:history="1">
              <w:r>
                <w:rPr>
                  <w:color w:val="246B8E"/>
                  <w:u w:val="single"/>
                </w:rPr>
                <w:t>Trastornos de la conducta alimentaria en adultos</w:t>
              </w:r>
            </w:hyperlink>
          </w:p>
        </w:tc>
        <w:tc>
          <w:tcPr>
            <w:tcW w:type="dxa" w:w="800"/>
            <w:shd w:fill="EAF3F7"/>
            <w:tcMar>
              <w:top w:w="85" w:type="dxa"/>
              <w:start w:w="120" w:type="dxa"/>
              <w:bottom w:w="85" w:type="dxa"/>
              <w:end w:w="120" w:type="dxa"/>
            </w:tcMar>
            <w:vAlign w:val="center"/>
          </w:tcPr>
          <w:p>
            <w:pPr>
              <w:spacing w:after="0" w:line="240" w:lineRule="auto"/>
              <w:jc w:val="center"/>
            </w:pPr>
            <w:r>
              <w:rPr>
                <w:rFonts w:ascii="Calibri" w:hAnsi="Calibri"/>
                <w:sz w:val="18"/>
              </w:rPr>
              <w:t>238</w:t>
            </w:r>
          </w:p>
        </w:tc>
      </w:tr>
      <w:tr>
        <w:trPr>
          <w:cantSplit/>
        </w:trPr>
        <w:tc>
          <w:tcPr>
            <w:tcW w:type="dxa" w:w="700"/>
            <w:tcMar>
              <w:top w:w="85" w:type="dxa"/>
              <w:start w:w="120" w:type="dxa"/>
              <w:bottom w:w="85" w:type="dxa"/>
              <w:end w:w="120" w:type="dxa"/>
            </w:tcMar>
            <w:vAlign w:val="center"/>
          </w:tcPr>
          <w:p>
            <w:pPr>
              <w:spacing w:after="0" w:line="240" w:lineRule="auto"/>
              <w:jc w:val="center"/>
            </w:pPr>
            <w:r>
              <w:rPr>
                <w:rFonts w:ascii="Calibri" w:hAnsi="Calibri"/>
                <w:b/>
                <w:color w:val="2A8C82"/>
                <w:sz w:val="18"/>
              </w:rPr>
              <w:t>39</w:t>
            </w:r>
          </w:p>
        </w:tc>
        <w:tc>
          <w:tcPr>
            <w:tcW w:type="dxa" w:w="8148"/>
            <w:tcMar>
              <w:top w:w="85" w:type="dxa"/>
              <w:start w:w="120" w:type="dxa"/>
              <w:bottom w:w="85" w:type="dxa"/>
              <w:end w:w="120" w:type="dxa"/>
            </w:tcMar>
            <w:vAlign w:val="center"/>
          </w:tcPr>
          <w:p>
            <w:pPr>
              <w:spacing w:after="0" w:line="240" w:lineRule="auto"/>
              <w:jc w:val="left"/>
            </w:pPr>
            <w:hyperlink w:anchor="chapter_39" w:history="1">
              <w:r>
                <w:rPr>
                  <w:color w:val="246B8E"/>
                  <w:u w:val="single"/>
                </w:rPr>
                <w:t>Síntomas somáticos, ansiedad por enfermedad y trastornos neurológicos funcionales</w:t>
              </w:r>
            </w:hyperlink>
          </w:p>
        </w:tc>
        <w:tc>
          <w:tcPr>
            <w:tcW w:type="dxa" w:w="800"/>
            <w:tcMar>
              <w:top w:w="85" w:type="dxa"/>
              <w:start w:w="120" w:type="dxa"/>
              <w:bottom w:w="85" w:type="dxa"/>
              <w:end w:w="120" w:type="dxa"/>
            </w:tcMar>
            <w:vAlign w:val="center"/>
          </w:tcPr>
          <w:p>
            <w:pPr>
              <w:spacing w:after="0" w:line="240" w:lineRule="auto"/>
              <w:jc w:val="center"/>
            </w:pPr>
            <w:r>
              <w:rPr>
                <w:rFonts w:ascii="Calibri" w:hAnsi="Calibri"/>
                <w:sz w:val="18"/>
              </w:rPr>
              <w:t>244</w:t>
            </w:r>
          </w:p>
        </w:tc>
      </w:tr>
      <w:tr>
        <w:trPr>
          <w:cantSplit/>
        </w:trPr>
        <w:tc>
          <w:tcPr>
            <w:tcW w:type="dxa" w:w="700"/>
            <w:shd w:fill="EAF3F7"/>
            <w:tcMar>
              <w:top w:w="85" w:type="dxa"/>
              <w:start w:w="120" w:type="dxa"/>
              <w:bottom w:w="85" w:type="dxa"/>
              <w:end w:w="120" w:type="dxa"/>
            </w:tcMar>
            <w:vAlign w:val="center"/>
          </w:tcPr>
          <w:p>
            <w:pPr>
              <w:spacing w:after="0" w:line="240" w:lineRule="auto"/>
              <w:jc w:val="center"/>
            </w:pPr>
            <w:r>
              <w:rPr>
                <w:rFonts w:ascii="Calibri" w:hAnsi="Calibri"/>
                <w:b/>
                <w:color w:val="2A8C82"/>
                <w:sz w:val="18"/>
              </w:rPr>
              <w:t>40</w:t>
            </w:r>
          </w:p>
        </w:tc>
        <w:tc>
          <w:tcPr>
            <w:tcW w:type="dxa" w:w="8148"/>
            <w:shd w:fill="EAF3F7"/>
            <w:tcMar>
              <w:top w:w="85" w:type="dxa"/>
              <w:start w:w="120" w:type="dxa"/>
              <w:bottom w:w="85" w:type="dxa"/>
              <w:end w:w="120" w:type="dxa"/>
            </w:tcMar>
            <w:vAlign w:val="center"/>
          </w:tcPr>
          <w:p>
            <w:pPr>
              <w:spacing w:after="0" w:line="240" w:lineRule="auto"/>
              <w:jc w:val="left"/>
            </w:pPr>
            <w:hyperlink w:anchor="chapter_40" w:history="1">
              <w:r>
                <w:rPr>
                  <w:color w:val="246B8E"/>
                  <w:u w:val="single"/>
                </w:rPr>
                <w:t>Sueño y psiquiatría: insomnio y otros trastornos frecuentes</w:t>
              </w:r>
            </w:hyperlink>
          </w:p>
        </w:tc>
        <w:tc>
          <w:tcPr>
            <w:tcW w:type="dxa" w:w="800"/>
            <w:shd w:fill="EAF3F7"/>
            <w:tcMar>
              <w:top w:w="85" w:type="dxa"/>
              <w:start w:w="120" w:type="dxa"/>
              <w:bottom w:w="85" w:type="dxa"/>
              <w:end w:w="120" w:type="dxa"/>
            </w:tcMar>
            <w:vAlign w:val="center"/>
          </w:tcPr>
          <w:p>
            <w:pPr>
              <w:spacing w:after="0" w:line="240" w:lineRule="auto"/>
              <w:jc w:val="center"/>
            </w:pPr>
            <w:r>
              <w:rPr>
                <w:rFonts w:ascii="Calibri" w:hAnsi="Calibri"/>
                <w:sz w:val="18"/>
              </w:rPr>
              <w:t>250</w:t>
            </w:r>
          </w:p>
        </w:tc>
      </w:tr>
      <w:tr>
        <w:trPr>
          <w:cantSplit/>
        </w:trPr>
        <w:tc>
          <w:tcPr>
            <w:tcW w:type="dxa" w:w="700"/>
            <w:tcMar>
              <w:top w:w="85" w:type="dxa"/>
              <w:start w:w="120" w:type="dxa"/>
              <w:bottom w:w="85" w:type="dxa"/>
              <w:end w:w="120" w:type="dxa"/>
            </w:tcMar>
            <w:vAlign w:val="center"/>
          </w:tcPr>
          <w:p>
            <w:pPr>
              <w:spacing w:after="0" w:line="240" w:lineRule="auto"/>
              <w:jc w:val="center"/>
            </w:pPr>
            <w:r>
              <w:rPr>
                <w:rFonts w:ascii="Calibri" w:hAnsi="Calibri"/>
                <w:b/>
                <w:color w:val="2A8C82"/>
                <w:sz w:val="18"/>
              </w:rPr>
              <w:t>41</w:t>
            </w:r>
          </w:p>
        </w:tc>
        <w:tc>
          <w:tcPr>
            <w:tcW w:type="dxa" w:w="8148"/>
            <w:tcMar>
              <w:top w:w="85" w:type="dxa"/>
              <w:start w:w="120" w:type="dxa"/>
              <w:bottom w:w="85" w:type="dxa"/>
              <w:end w:w="120" w:type="dxa"/>
            </w:tcMar>
            <w:vAlign w:val="center"/>
          </w:tcPr>
          <w:p>
            <w:pPr>
              <w:spacing w:after="0" w:line="240" w:lineRule="auto"/>
              <w:jc w:val="left"/>
            </w:pPr>
            <w:hyperlink w:anchor="chapter_41" w:history="1">
              <w:r>
                <w:rPr>
                  <w:color w:val="246B8E"/>
                  <w:u w:val="single"/>
                </w:rPr>
                <w:t>Delirium: reconocimiento, etiología y manejo</w:t>
              </w:r>
            </w:hyperlink>
          </w:p>
        </w:tc>
        <w:tc>
          <w:tcPr>
            <w:tcW w:type="dxa" w:w="800"/>
            <w:tcMar>
              <w:top w:w="85" w:type="dxa"/>
              <w:start w:w="120" w:type="dxa"/>
              <w:bottom w:w="85" w:type="dxa"/>
              <w:end w:w="120" w:type="dxa"/>
            </w:tcMar>
            <w:vAlign w:val="center"/>
          </w:tcPr>
          <w:p>
            <w:pPr>
              <w:spacing w:after="0" w:line="240" w:lineRule="auto"/>
              <w:jc w:val="center"/>
            </w:pPr>
            <w:r>
              <w:rPr>
                <w:rFonts w:ascii="Calibri" w:hAnsi="Calibri"/>
                <w:sz w:val="18"/>
              </w:rPr>
              <w:t>256</w:t>
            </w:r>
          </w:p>
        </w:tc>
      </w:tr>
      <w:tr>
        <w:trPr>
          <w:cantSplit/>
        </w:trPr>
        <w:tc>
          <w:tcPr>
            <w:tcW w:type="dxa" w:w="700"/>
            <w:shd w:fill="EAF3F7"/>
            <w:tcMar>
              <w:top w:w="85" w:type="dxa"/>
              <w:start w:w="120" w:type="dxa"/>
              <w:bottom w:w="85" w:type="dxa"/>
              <w:end w:w="120" w:type="dxa"/>
            </w:tcMar>
            <w:vAlign w:val="center"/>
          </w:tcPr>
          <w:p>
            <w:pPr>
              <w:spacing w:after="0" w:line="240" w:lineRule="auto"/>
              <w:jc w:val="center"/>
            </w:pPr>
            <w:r>
              <w:rPr>
                <w:rFonts w:ascii="Calibri" w:hAnsi="Calibri"/>
                <w:b/>
                <w:color w:val="2A8C82"/>
                <w:sz w:val="18"/>
              </w:rPr>
              <w:t>42</w:t>
            </w:r>
          </w:p>
        </w:tc>
        <w:tc>
          <w:tcPr>
            <w:tcW w:type="dxa" w:w="8148"/>
            <w:shd w:fill="EAF3F7"/>
            <w:tcMar>
              <w:top w:w="85" w:type="dxa"/>
              <w:start w:w="120" w:type="dxa"/>
              <w:bottom w:w="85" w:type="dxa"/>
              <w:end w:w="120" w:type="dxa"/>
            </w:tcMar>
            <w:vAlign w:val="center"/>
          </w:tcPr>
          <w:p>
            <w:pPr>
              <w:spacing w:after="0" w:line="240" w:lineRule="auto"/>
              <w:jc w:val="left"/>
            </w:pPr>
            <w:hyperlink w:anchor="chapter_42" w:history="1">
              <w:r>
                <w:rPr>
                  <w:color w:val="246B8E"/>
                  <w:u w:val="single"/>
                </w:rPr>
                <w:t>Trastornos neurocognitivos y demencias: evaluación, tratamiento y GES 85</w:t>
              </w:r>
            </w:hyperlink>
          </w:p>
        </w:tc>
        <w:tc>
          <w:tcPr>
            <w:tcW w:type="dxa" w:w="800"/>
            <w:shd w:fill="EAF3F7"/>
            <w:tcMar>
              <w:top w:w="85" w:type="dxa"/>
              <w:start w:w="120" w:type="dxa"/>
              <w:bottom w:w="85" w:type="dxa"/>
              <w:end w:w="120" w:type="dxa"/>
            </w:tcMar>
            <w:vAlign w:val="center"/>
          </w:tcPr>
          <w:p>
            <w:pPr>
              <w:spacing w:after="0" w:line="240" w:lineRule="auto"/>
              <w:jc w:val="center"/>
            </w:pPr>
            <w:r>
              <w:rPr>
                <w:rFonts w:ascii="Calibri" w:hAnsi="Calibri"/>
                <w:sz w:val="18"/>
              </w:rPr>
              <w:t>262</w:t>
            </w:r>
          </w:p>
        </w:tc>
      </w:tr>
      <w:tr>
        <w:trPr>
          <w:cantSplit/>
        </w:trPr>
        <w:tc>
          <w:tcPr>
            <w:tcW w:type="dxa" w:w="700"/>
            <w:tcMar>
              <w:top w:w="85" w:type="dxa"/>
              <w:start w:w="120" w:type="dxa"/>
              <w:bottom w:w="85" w:type="dxa"/>
              <w:end w:w="120" w:type="dxa"/>
            </w:tcMar>
            <w:vAlign w:val="center"/>
          </w:tcPr>
          <w:p>
            <w:pPr>
              <w:spacing w:after="0" w:line="240" w:lineRule="auto"/>
              <w:jc w:val="center"/>
            </w:pPr>
            <w:r>
              <w:rPr>
                <w:rFonts w:ascii="Calibri" w:hAnsi="Calibri"/>
                <w:b/>
                <w:color w:val="2A8C82"/>
                <w:sz w:val="18"/>
              </w:rPr>
              <w:t>43</w:t>
            </w:r>
          </w:p>
        </w:tc>
        <w:tc>
          <w:tcPr>
            <w:tcW w:type="dxa" w:w="8148"/>
            <w:tcMar>
              <w:top w:w="85" w:type="dxa"/>
              <w:start w:w="120" w:type="dxa"/>
              <w:bottom w:w="85" w:type="dxa"/>
              <w:end w:w="120" w:type="dxa"/>
            </w:tcMar>
            <w:vAlign w:val="center"/>
          </w:tcPr>
          <w:p>
            <w:pPr>
              <w:spacing w:after="0" w:line="240" w:lineRule="auto"/>
              <w:jc w:val="left"/>
            </w:pPr>
            <w:hyperlink w:anchor="chapter_43" w:history="1">
              <w:r>
                <w:rPr>
                  <w:color w:val="246B8E"/>
                  <w:u w:val="single"/>
                </w:rPr>
                <w:t>Neurodesarrollo en adultos: TDAH, autismo y discapacidad intelectual</w:t>
              </w:r>
            </w:hyperlink>
          </w:p>
        </w:tc>
        <w:tc>
          <w:tcPr>
            <w:tcW w:type="dxa" w:w="800"/>
            <w:tcMar>
              <w:top w:w="85" w:type="dxa"/>
              <w:start w:w="120" w:type="dxa"/>
              <w:bottom w:w="85" w:type="dxa"/>
              <w:end w:w="120" w:type="dxa"/>
            </w:tcMar>
            <w:vAlign w:val="center"/>
          </w:tcPr>
          <w:p>
            <w:pPr>
              <w:spacing w:after="0" w:line="240" w:lineRule="auto"/>
              <w:jc w:val="center"/>
            </w:pPr>
            <w:r>
              <w:rPr>
                <w:rFonts w:ascii="Calibri" w:hAnsi="Calibri"/>
                <w:sz w:val="18"/>
              </w:rPr>
              <w:t>268</w:t>
            </w:r>
          </w:p>
        </w:tc>
      </w:tr>
      <w:tr>
        <w:trPr>
          <w:cantSplit/>
        </w:trPr>
        <w:tc>
          <w:tcPr>
            <w:tcW w:type="dxa" w:w="700"/>
            <w:shd w:fill="EAF3F7"/>
            <w:tcMar>
              <w:top w:w="85" w:type="dxa"/>
              <w:start w:w="120" w:type="dxa"/>
              <w:bottom w:w="85" w:type="dxa"/>
              <w:end w:w="120" w:type="dxa"/>
            </w:tcMar>
            <w:vAlign w:val="center"/>
          </w:tcPr>
          <w:p>
            <w:pPr>
              <w:spacing w:after="0" w:line="240" w:lineRule="auto"/>
              <w:jc w:val="center"/>
            </w:pPr>
            <w:r>
              <w:rPr>
                <w:rFonts w:ascii="Calibri" w:hAnsi="Calibri"/>
                <w:b/>
                <w:color w:val="2A8C82"/>
                <w:sz w:val="18"/>
              </w:rPr>
              <w:t>44</w:t>
            </w:r>
          </w:p>
        </w:tc>
        <w:tc>
          <w:tcPr>
            <w:tcW w:type="dxa" w:w="8148"/>
            <w:shd w:fill="EAF3F7"/>
            <w:tcMar>
              <w:top w:w="85" w:type="dxa"/>
              <w:start w:w="120" w:type="dxa"/>
              <w:bottom w:w="85" w:type="dxa"/>
              <w:end w:w="120" w:type="dxa"/>
            </w:tcMar>
            <w:vAlign w:val="center"/>
          </w:tcPr>
          <w:p>
            <w:pPr>
              <w:spacing w:after="0" w:line="240" w:lineRule="auto"/>
              <w:jc w:val="left"/>
            </w:pPr>
            <w:hyperlink w:anchor="chapter_44" w:history="1">
              <w:r>
                <w:rPr>
                  <w:color w:val="246B8E"/>
                  <w:u w:val="single"/>
                </w:rPr>
                <w:t>Salud sexual, disfunciones sexuales, género y diversidad</w:t>
              </w:r>
            </w:hyperlink>
          </w:p>
        </w:tc>
        <w:tc>
          <w:tcPr>
            <w:tcW w:type="dxa" w:w="800"/>
            <w:shd w:fill="EAF3F7"/>
            <w:tcMar>
              <w:top w:w="85" w:type="dxa"/>
              <w:start w:w="120" w:type="dxa"/>
              <w:bottom w:w="85" w:type="dxa"/>
              <w:end w:w="120" w:type="dxa"/>
            </w:tcMar>
            <w:vAlign w:val="center"/>
          </w:tcPr>
          <w:p>
            <w:pPr>
              <w:spacing w:after="0" w:line="240" w:lineRule="auto"/>
              <w:jc w:val="center"/>
            </w:pPr>
            <w:r>
              <w:rPr>
                <w:rFonts w:ascii="Calibri" w:hAnsi="Calibri"/>
                <w:sz w:val="18"/>
              </w:rPr>
              <w:t>274</w:t>
            </w:r>
          </w:p>
        </w:tc>
      </w:tr>
      <w:tr>
        <w:trPr>
          <w:cantSplit/>
        </w:trPr>
        <w:tc>
          <w:tcPr>
            <w:tcW w:type="dxa" w:w="700"/>
            <w:tcMar>
              <w:top w:w="85" w:type="dxa"/>
              <w:start w:w="120" w:type="dxa"/>
              <w:bottom w:w="85" w:type="dxa"/>
              <w:end w:w="120" w:type="dxa"/>
            </w:tcMar>
            <w:vAlign w:val="center"/>
          </w:tcPr>
          <w:p>
            <w:pPr>
              <w:spacing w:after="0" w:line="240" w:lineRule="auto"/>
              <w:jc w:val="center"/>
            </w:pPr>
            <w:r>
              <w:rPr>
                <w:rFonts w:ascii="Calibri" w:hAnsi="Calibri"/>
                <w:b/>
                <w:color w:val="2A8C82"/>
                <w:sz w:val="18"/>
              </w:rPr>
              <w:t>45</w:t>
            </w:r>
          </w:p>
        </w:tc>
        <w:tc>
          <w:tcPr>
            <w:tcW w:type="dxa" w:w="8148"/>
            <w:tcMar>
              <w:top w:w="85" w:type="dxa"/>
              <w:start w:w="120" w:type="dxa"/>
              <w:bottom w:w="85" w:type="dxa"/>
              <w:end w:w="120" w:type="dxa"/>
            </w:tcMar>
            <w:vAlign w:val="center"/>
          </w:tcPr>
          <w:p>
            <w:pPr>
              <w:spacing w:after="0" w:line="240" w:lineRule="auto"/>
              <w:jc w:val="left"/>
            </w:pPr>
            <w:hyperlink w:anchor="chapter_45" w:history="1">
              <w:r>
                <w:rPr>
                  <w:color w:val="246B8E"/>
                  <w:u w:val="single"/>
                </w:rPr>
                <w:t>Salud mental perinatal: embarazo, puerperio y lactancia</w:t>
              </w:r>
            </w:hyperlink>
          </w:p>
        </w:tc>
        <w:tc>
          <w:tcPr>
            <w:tcW w:type="dxa" w:w="800"/>
            <w:tcMar>
              <w:top w:w="85" w:type="dxa"/>
              <w:start w:w="120" w:type="dxa"/>
              <w:bottom w:w="85" w:type="dxa"/>
              <w:end w:w="120" w:type="dxa"/>
            </w:tcMar>
            <w:vAlign w:val="center"/>
          </w:tcPr>
          <w:p>
            <w:pPr>
              <w:spacing w:after="0" w:line="240" w:lineRule="auto"/>
              <w:jc w:val="center"/>
            </w:pPr>
            <w:r>
              <w:rPr>
                <w:rFonts w:ascii="Calibri" w:hAnsi="Calibri"/>
                <w:sz w:val="18"/>
              </w:rPr>
              <w:t>280</w:t>
            </w:r>
          </w:p>
        </w:tc>
      </w:tr>
      <w:tr>
        <w:trPr>
          <w:cantSplit/>
        </w:trPr>
        <w:tc>
          <w:tcPr>
            <w:tcW w:type="dxa" w:w="700"/>
            <w:shd w:fill="EAF3F7"/>
            <w:tcMar>
              <w:top w:w="85" w:type="dxa"/>
              <w:start w:w="120" w:type="dxa"/>
              <w:bottom w:w="85" w:type="dxa"/>
              <w:end w:w="120" w:type="dxa"/>
            </w:tcMar>
            <w:vAlign w:val="center"/>
          </w:tcPr>
          <w:p>
            <w:pPr>
              <w:spacing w:after="0" w:line="240" w:lineRule="auto"/>
              <w:jc w:val="center"/>
            </w:pPr>
            <w:r>
              <w:rPr>
                <w:rFonts w:ascii="Calibri" w:hAnsi="Calibri"/>
                <w:b/>
                <w:color w:val="2A8C82"/>
                <w:sz w:val="18"/>
              </w:rPr>
              <w:t>46</w:t>
            </w:r>
          </w:p>
        </w:tc>
        <w:tc>
          <w:tcPr>
            <w:tcW w:type="dxa" w:w="8148"/>
            <w:shd w:fill="EAF3F7"/>
            <w:tcMar>
              <w:top w:w="85" w:type="dxa"/>
              <w:start w:w="120" w:type="dxa"/>
              <w:bottom w:w="85" w:type="dxa"/>
              <w:end w:w="120" w:type="dxa"/>
            </w:tcMar>
            <w:vAlign w:val="center"/>
          </w:tcPr>
          <w:p>
            <w:pPr>
              <w:spacing w:after="0" w:line="240" w:lineRule="auto"/>
              <w:jc w:val="left"/>
            </w:pPr>
            <w:hyperlink w:anchor="chapter_46" w:history="1">
              <w:r>
                <w:rPr>
                  <w:color w:val="246B8E"/>
                  <w:u w:val="single"/>
                </w:rPr>
                <w:t>Psiquiatría infanto-adolescente esencial para el médico general</w:t>
              </w:r>
            </w:hyperlink>
          </w:p>
        </w:tc>
        <w:tc>
          <w:tcPr>
            <w:tcW w:type="dxa" w:w="800"/>
            <w:shd w:fill="EAF3F7"/>
            <w:tcMar>
              <w:top w:w="85" w:type="dxa"/>
              <w:start w:w="120" w:type="dxa"/>
              <w:bottom w:w="85" w:type="dxa"/>
              <w:end w:w="120" w:type="dxa"/>
            </w:tcMar>
            <w:vAlign w:val="center"/>
          </w:tcPr>
          <w:p>
            <w:pPr>
              <w:spacing w:after="0" w:line="240" w:lineRule="auto"/>
              <w:jc w:val="center"/>
            </w:pPr>
            <w:r>
              <w:rPr>
                <w:rFonts w:ascii="Calibri" w:hAnsi="Calibri"/>
                <w:sz w:val="18"/>
              </w:rPr>
              <w:t>286</w:t>
            </w:r>
          </w:p>
        </w:tc>
      </w:tr>
      <w:tr>
        <w:trPr>
          <w:cantSplit/>
        </w:trPr>
        <w:tc>
          <w:tcPr>
            <w:tcW w:type="dxa" w:w="700"/>
            <w:tcMar>
              <w:top w:w="85" w:type="dxa"/>
              <w:start w:w="120" w:type="dxa"/>
              <w:bottom w:w="85" w:type="dxa"/>
              <w:end w:w="120" w:type="dxa"/>
            </w:tcMar>
            <w:vAlign w:val="center"/>
          </w:tcPr>
          <w:p>
            <w:pPr>
              <w:spacing w:after="0" w:line="240" w:lineRule="auto"/>
              <w:jc w:val="center"/>
            </w:pPr>
            <w:r>
              <w:rPr>
                <w:rFonts w:ascii="Calibri" w:hAnsi="Calibri"/>
                <w:b/>
                <w:color w:val="2A8C82"/>
                <w:sz w:val="18"/>
              </w:rPr>
              <w:t>47</w:t>
            </w:r>
          </w:p>
        </w:tc>
        <w:tc>
          <w:tcPr>
            <w:tcW w:type="dxa" w:w="8148"/>
            <w:tcMar>
              <w:top w:w="85" w:type="dxa"/>
              <w:start w:w="120" w:type="dxa"/>
              <w:bottom w:w="85" w:type="dxa"/>
              <w:end w:w="120" w:type="dxa"/>
            </w:tcMar>
            <w:vAlign w:val="center"/>
          </w:tcPr>
          <w:p>
            <w:pPr>
              <w:spacing w:after="0" w:line="240" w:lineRule="auto"/>
              <w:jc w:val="left"/>
            </w:pPr>
            <w:hyperlink w:anchor="chapter_47" w:history="1">
              <w:r>
                <w:rPr>
                  <w:color w:val="246B8E"/>
                  <w:u w:val="single"/>
                </w:rPr>
                <w:t>Catatonía, terapia electroconvulsiva y otros tratamientos somáticos</w:t>
              </w:r>
            </w:hyperlink>
          </w:p>
        </w:tc>
        <w:tc>
          <w:tcPr>
            <w:tcW w:type="dxa" w:w="800"/>
            <w:tcMar>
              <w:top w:w="85" w:type="dxa"/>
              <w:start w:w="120" w:type="dxa"/>
              <w:bottom w:w="85" w:type="dxa"/>
              <w:end w:w="120" w:type="dxa"/>
            </w:tcMar>
            <w:vAlign w:val="center"/>
          </w:tcPr>
          <w:p>
            <w:pPr>
              <w:spacing w:after="0" w:line="240" w:lineRule="auto"/>
              <w:jc w:val="center"/>
            </w:pPr>
            <w:r>
              <w:rPr>
                <w:rFonts w:ascii="Calibri" w:hAnsi="Calibri"/>
                <w:sz w:val="18"/>
              </w:rPr>
              <w:t>293</w:t>
            </w:r>
          </w:p>
        </w:tc>
      </w:tr>
      <w:tr>
        <w:trPr>
          <w:cantSplit/>
        </w:trPr>
        <w:tc>
          <w:tcPr>
            <w:tcW w:type="dxa" w:w="700"/>
            <w:shd w:fill="EAF3F7"/>
            <w:tcMar>
              <w:top w:w="85" w:type="dxa"/>
              <w:start w:w="120" w:type="dxa"/>
              <w:bottom w:w="85" w:type="dxa"/>
              <w:end w:w="120" w:type="dxa"/>
            </w:tcMar>
            <w:vAlign w:val="center"/>
          </w:tcPr>
          <w:p>
            <w:pPr>
              <w:spacing w:after="0" w:line="240" w:lineRule="auto"/>
              <w:jc w:val="center"/>
            </w:pPr>
            <w:r>
              <w:rPr>
                <w:rFonts w:ascii="Calibri" w:hAnsi="Calibri"/>
                <w:b/>
                <w:color w:val="2A8C82"/>
                <w:sz w:val="18"/>
              </w:rPr>
              <w:t>48</w:t>
            </w:r>
          </w:p>
        </w:tc>
        <w:tc>
          <w:tcPr>
            <w:tcW w:type="dxa" w:w="8148"/>
            <w:shd w:fill="EAF3F7"/>
            <w:tcMar>
              <w:top w:w="85" w:type="dxa"/>
              <w:start w:w="120" w:type="dxa"/>
              <w:bottom w:w="85" w:type="dxa"/>
              <w:end w:w="120" w:type="dxa"/>
            </w:tcMar>
            <w:vAlign w:val="center"/>
          </w:tcPr>
          <w:p>
            <w:pPr>
              <w:spacing w:after="0" w:line="240" w:lineRule="auto"/>
              <w:jc w:val="left"/>
            </w:pPr>
            <w:hyperlink w:anchor="chapter_48" w:history="1">
              <w:r>
                <w:rPr>
                  <w:color w:val="246B8E"/>
                  <w:u w:val="single"/>
                </w:rPr>
                <w:t>Derechos, capacidad, consentimiento y hospitalización psiquiátrica en Chile</w:t>
              </w:r>
            </w:hyperlink>
          </w:p>
        </w:tc>
        <w:tc>
          <w:tcPr>
            <w:tcW w:type="dxa" w:w="800"/>
            <w:shd w:fill="EAF3F7"/>
            <w:tcMar>
              <w:top w:w="85" w:type="dxa"/>
              <w:start w:w="120" w:type="dxa"/>
              <w:bottom w:w="85" w:type="dxa"/>
              <w:end w:w="120" w:type="dxa"/>
            </w:tcMar>
            <w:vAlign w:val="center"/>
          </w:tcPr>
          <w:p>
            <w:pPr>
              <w:spacing w:after="0" w:line="240" w:lineRule="auto"/>
              <w:jc w:val="center"/>
            </w:pPr>
            <w:r>
              <w:rPr>
                <w:rFonts w:ascii="Calibri" w:hAnsi="Calibri"/>
                <w:sz w:val="18"/>
              </w:rPr>
              <w:t>299</w:t>
            </w:r>
          </w:p>
        </w:tc>
      </w:tr>
      <w:tr>
        <w:trPr>
          <w:cantSplit/>
        </w:trPr>
        <w:tc>
          <w:tcPr>
            <w:tcW w:type="dxa" w:w="700"/>
            <w:tcMar>
              <w:top w:w="85" w:type="dxa"/>
              <w:start w:w="120" w:type="dxa"/>
              <w:bottom w:w="85" w:type="dxa"/>
              <w:end w:w="120" w:type="dxa"/>
            </w:tcMar>
            <w:vAlign w:val="center"/>
          </w:tcPr>
          <w:p>
            <w:pPr>
              <w:spacing w:after="0" w:line="240" w:lineRule="auto"/>
              <w:jc w:val="center"/>
            </w:pPr>
            <w:r>
              <w:rPr>
                <w:rFonts w:ascii="Calibri" w:hAnsi="Calibri"/>
                <w:b/>
                <w:color w:val="2A8C82"/>
                <w:sz w:val="18"/>
              </w:rPr>
              <w:t>49</w:t>
            </w:r>
          </w:p>
        </w:tc>
        <w:tc>
          <w:tcPr>
            <w:tcW w:type="dxa" w:w="8148"/>
            <w:tcMar>
              <w:top w:w="85" w:type="dxa"/>
              <w:start w:w="120" w:type="dxa"/>
              <w:bottom w:w="85" w:type="dxa"/>
              <w:end w:w="120" w:type="dxa"/>
            </w:tcMar>
            <w:vAlign w:val="center"/>
          </w:tcPr>
          <w:p>
            <w:pPr>
              <w:spacing w:after="0" w:line="240" w:lineRule="auto"/>
              <w:jc w:val="left"/>
            </w:pPr>
            <w:hyperlink w:anchor="chapter_49" w:history="1">
              <w:r>
                <w:rPr>
                  <w:color w:val="246B8E"/>
                  <w:u w:val="single"/>
                </w:rPr>
                <w:t>Violencia, abuso, psiquiatría forense y documentación médico-laboral</w:t>
              </w:r>
            </w:hyperlink>
          </w:p>
        </w:tc>
        <w:tc>
          <w:tcPr>
            <w:tcW w:type="dxa" w:w="800"/>
            <w:tcMar>
              <w:top w:w="85" w:type="dxa"/>
              <w:start w:w="120" w:type="dxa"/>
              <w:bottom w:w="85" w:type="dxa"/>
              <w:end w:w="120" w:type="dxa"/>
            </w:tcMar>
            <w:vAlign w:val="center"/>
          </w:tcPr>
          <w:p>
            <w:pPr>
              <w:spacing w:after="0" w:line="240" w:lineRule="auto"/>
              <w:jc w:val="center"/>
            </w:pPr>
            <w:r>
              <w:rPr>
                <w:rFonts w:ascii="Calibri" w:hAnsi="Calibri"/>
                <w:sz w:val="18"/>
              </w:rPr>
              <w:t>306</w:t>
            </w:r>
          </w:p>
        </w:tc>
      </w:tr>
      <w:tr>
        <w:trPr>
          <w:cantSplit/>
        </w:trPr>
        <w:tc>
          <w:tcPr>
            <w:tcW w:type="dxa" w:w="700"/>
            <w:shd w:fill="EAF3F7"/>
            <w:tcMar>
              <w:top w:w="85" w:type="dxa"/>
              <w:start w:w="120" w:type="dxa"/>
              <w:bottom w:w="85" w:type="dxa"/>
              <w:end w:w="120" w:type="dxa"/>
            </w:tcMar>
            <w:vAlign w:val="center"/>
          </w:tcPr>
          <w:p>
            <w:pPr>
              <w:spacing w:after="0" w:line="240" w:lineRule="auto"/>
              <w:jc w:val="center"/>
            </w:pPr>
            <w:r>
              <w:rPr>
                <w:rFonts w:ascii="Calibri" w:hAnsi="Calibri"/>
                <w:b/>
                <w:color w:val="2A8C82"/>
                <w:sz w:val="18"/>
              </w:rPr>
              <w:t>50</w:t>
            </w:r>
          </w:p>
        </w:tc>
        <w:tc>
          <w:tcPr>
            <w:tcW w:type="dxa" w:w="8148"/>
            <w:shd w:fill="EAF3F7"/>
            <w:tcMar>
              <w:top w:w="85" w:type="dxa"/>
              <w:start w:w="120" w:type="dxa"/>
              <w:bottom w:w="85" w:type="dxa"/>
              <w:end w:w="120" w:type="dxa"/>
            </w:tcMar>
            <w:vAlign w:val="center"/>
          </w:tcPr>
          <w:p>
            <w:pPr>
              <w:spacing w:after="0" w:line="240" w:lineRule="auto"/>
              <w:jc w:val="left"/>
            </w:pPr>
            <w:hyperlink w:anchor="chapter_50" w:history="1">
              <w:r>
                <w:rPr>
                  <w:color w:val="246B8E"/>
                  <w:u w:val="single"/>
                </w:rPr>
                <w:t>Manejo psiquiátrico inicial en Chile: red, GES e integración final</w:t>
              </w:r>
            </w:hyperlink>
          </w:p>
        </w:tc>
        <w:tc>
          <w:tcPr>
            <w:tcW w:type="dxa" w:w="800"/>
            <w:shd w:fill="EAF3F7"/>
            <w:tcMar>
              <w:top w:w="85" w:type="dxa"/>
              <w:start w:w="120" w:type="dxa"/>
              <w:bottom w:w="85" w:type="dxa"/>
              <w:end w:w="120" w:type="dxa"/>
            </w:tcMar>
            <w:vAlign w:val="center"/>
          </w:tcPr>
          <w:p>
            <w:pPr>
              <w:spacing w:after="0" w:line="240" w:lineRule="auto"/>
              <w:jc w:val="center"/>
            </w:pPr>
            <w:r>
              <w:rPr>
                <w:rFonts w:ascii="Calibri" w:hAnsi="Calibri"/>
                <w:sz w:val="18"/>
              </w:rPr>
              <w:t>313</w:t>
            </w:r>
          </w:p>
        </w:tc>
      </w:tr>
    </w:tbl>
    <w:p>
      <w:r>
        <w:br w:type="page"/>
      </w:r>
    </w:p>
    <w:p>
      <w:pPr>
        <w:spacing w:after="480"/>
      </w:pPr>
      <w:r>
        <w:rPr>
          <w:rFonts w:ascii="Calibri" w:hAnsi="Calibri"/>
          <w:b/>
          <w:color w:val="2A8C82"/>
          <w:sz w:val="20"/>
        </w:rPr>
        <w:t>CAPÍTULO 01 · MATERIAL PARA ESTUDIANTES</w:t>
      </w:r>
    </w:p>
    <w:tbl>
      <w:tblPr>
        <w:tblW w:type="auto" w:w="0"/>
        <w:jc w:val="left"/>
        <w:tblLayout w:type="fixed"/>
        <w:tblLook w:firstColumn="1" w:firstRow="1" w:lastColumn="0" w:lastRow="0" w:noHBand="0" w:noVBand="1" w:val="04A0"/>
      </w:tblPr>
      <w:tblGrid>
        <w:gridCol w:w="9648"/>
      </w:tblGrid>
      <w:tr>
        <w:trPr>
          <w:tblHeader w:val="true"/>
        </w:trPr>
        <w:tc>
          <w:tcPr>
            <w:tcW w:type="dxa" w:w="9072"/>
            <w:shd w:fill="173A5E"/>
            <w:tcMar>
              <w:top w:w="120" w:type="dxa"/>
              <w:start w:w="220" w:type="dxa"/>
              <w:bottom w:w="120" w:type="dxa"/>
              <w:end w:w="220" w:type="dxa"/>
            </w:tcMar>
          </w:tcPr>
          <w:p>
            <w:pPr>
              <w:spacing w:after="0"/>
            </w:pPr>
            <w:r>
              <w:rPr>
                <w:rFonts w:ascii="Calibri" w:hAnsi="Calibri"/>
                <w:b/>
                <w:color w:val="FFFFFF"/>
                <w:sz w:val="19"/>
              </w:rPr>
              <w:t>MÓDULO I · ENTREVISTA, EXAMEN MENTAL Y RAZONAMIENTO CLÍNICO</w:t>
            </w:r>
          </w:p>
        </w:tc>
      </w:tr>
    </w:tbl>
    <w:p>
      <w:pPr>
        <w:pStyle w:val="Title"/>
        <w:spacing w:before="520" w:after="360"/>
        <w:outlineLvl w:val="0"/>
      </w:pPr>
      <w:bookmarkStart w:id="1001" w:name="chapter_01"/>
      <w:r>
        <w:t>La entrevista psiquiátrica: encuadre, alianza y estructura</w:t>
      </w:r>
      <w:bookmarkEnd w:id="1001"/>
    </w:p>
    <w:p>
      <w:pPr>
        <w:spacing w:after="80"/>
      </w:pPr>
      <w:r>
        <w:rPr>
          <w:rFonts w:ascii="Calibri" w:hAnsi="Calibri"/>
          <w:b/>
          <w:color w:val="246B8E"/>
          <w:sz w:val="26"/>
        </w:rPr>
        <w:t>Programa de Psiquiatría para internos de Medicina</w:t>
      </w:r>
    </w:p>
    <w:p>
      <w:r>
        <w:rPr>
          <w:rFonts w:ascii="Calibri" w:hAnsi="Calibri"/>
          <w:color w:val="6B7280"/>
          <w:sz w:val="22"/>
        </w:rPr>
        <w:t>Lectura complementaria · Chile · Versión final para revisión humana · 2026</w:t>
      </w:r>
    </w:p>
    <w:p/>
    <w:p/>
    <w:p/>
    <w:p/>
    <w:p/>
    <w:tbl>
      <w:tblPr>
        <w:tblW w:type="auto" w:w="0"/>
        <w:jc w:val="left"/>
        <w:tblLayout w:type="fixed"/>
        <w:tblLook w:firstColumn="1" w:firstRow="1" w:lastColumn="0" w:lastRow="0" w:noHBand="0" w:noVBand="1" w:val="04A0"/>
      </w:tblPr>
      <w:tblGrid>
        <w:gridCol w:w="9648"/>
      </w:tblGrid>
      <w:tr>
        <w:trPr>
          <w:tblHeader w:val="true"/>
        </w:trPr>
        <w:tc>
          <w:tcPr>
            <w:tcW w:type="dxa" w:w="9648"/>
            <w:shd w:fill="F3F5F6"/>
            <w:tcBorders>
              <w:start w:val="single" w:sz="18" w:color="2A8C82"/>
            </w:tcBorders>
            <w:tcMar>
              <w:top w:w="160" w:type="dxa"/>
              <w:start w:w="220" w:type="dxa"/>
              <w:bottom w:w="160" w:type="dxa"/>
              <w:end w:w="220" w:type="dxa"/>
            </w:tcMar>
          </w:tcPr>
          <w:p>
            <w:pPr>
              <w:spacing w:after="0"/>
            </w:pPr>
            <w:r>
              <w:rPr>
                <w:rFonts w:ascii="Calibri" w:hAnsi="Calibri"/>
                <w:i/>
                <w:color w:val="6B7280"/>
                <w:sz w:val="18"/>
              </w:rPr>
              <w:t>Versión docente final para revisión humana. Material propuesto y contextualizado a Chile; no corresponde a un programa oficial de la Pontificia Universidad Católica de Chile ni sustituye protocolos locales, supervisión clínica o evaluación especializada. Fuentes revisadas al 15 de agosto de 2026.</w:t>
            </w:r>
          </w:p>
        </w:tc>
      </w:tr>
    </w:tbl>
    <w:p>
      <w:r>
        <w:br w:type="page"/>
      </w:r>
    </w:p>
    <w:tbl>
      <w:tblPr>
        <w:tblW w:type="auto" w:w="0"/>
        <w:jc w:val="center"/>
        <w:tblLayout w:type="autofit"/>
        <w:tblLook w:firstColumn="1" w:firstRow="1" w:lastColumn="0" w:lastRow="0" w:noHBand="0" w:noVBand="1" w:val="04A0"/>
      </w:tblPr>
      <w:tblGrid>
        <w:gridCol w:w="9648"/>
      </w:tblGrid>
      <w:tr>
        <w:trPr>
          <w:tblHeader w:val="true"/>
        </w:trPr>
        <w:tc>
          <w:tcPr>
            <w:tcW w:type="dxa" w:w="9648"/>
            <w:vAlign w:val="center"/>
            <w:shd w:fill="EAF3F7"/>
            <w:tcBorders>
              <w:start w:val="single" w:sz="14" w:color="2A8C82"/>
            </w:tcBorders>
            <w:tcMar>
              <w:top w:w="130" w:type="dxa"/>
              <w:start w:w="190" w:type="dxa"/>
              <w:bottom w:w="130" w:type="dxa"/>
              <w:end w:w="190" w:type="dxa"/>
            </w:tcMar>
          </w:tcPr>
          <w:p>
            <w:pPr>
              <w:spacing w:after="0"/>
            </w:pPr>
            <w:r>
              <w:rPr>
                <w:b/>
                <w:color w:val="173A5E"/>
              </w:rPr>
              <w:t xml:space="preserve">PREGUNTA CLÍNICA  </w:t>
            </w:r>
            <w:r>
              <w:t>¿Cómo obtener información válida y suficiente sin convertir la consulta en un interrogatorio ni perder la alianza con la persona entrevistada?</w:t>
            </w:r>
          </w:p>
        </w:tc>
      </w:tr>
    </w:tbl>
    <w:p>
      <w:pPr>
        <w:spacing w:after="0"/>
      </w:pPr>
    </w:p>
    <w:tbl>
      <w:tblPr>
        <w:tblW w:type="auto" w:w="0"/>
        <w:jc w:val="center"/>
        <w:tblLayout w:type="autofit"/>
        <w:tblLook w:firstColumn="1" w:firstRow="1" w:lastColumn="0" w:lastRow="0" w:noHBand="0" w:noVBand="1" w:val="04A0"/>
      </w:tblPr>
      <w:tblGrid>
        <w:gridCol w:w="9648"/>
      </w:tblGrid>
      <w:tr>
        <w:trPr>
          <w:tblHeader w:val="true"/>
        </w:trPr>
        <w:tc>
          <w:tcPr>
            <w:tcW w:type="dxa" w:w="9648"/>
            <w:vAlign w:val="center"/>
            <w:shd w:fill="EAF6F3"/>
            <w:tcBorders>
              <w:start w:val="single" w:sz="14" w:color="2A8C82"/>
            </w:tcBorders>
            <w:tcMar>
              <w:top w:w="130" w:type="dxa"/>
              <w:start w:w="190" w:type="dxa"/>
              <w:bottom w:w="130" w:type="dxa"/>
              <w:end w:w="190" w:type="dxa"/>
            </w:tcMar>
          </w:tcPr>
          <w:p>
            <w:pPr>
              <w:spacing w:after="0"/>
            </w:pPr>
            <w:r>
              <w:rPr>
                <w:b/>
                <w:color w:val="173A5E"/>
              </w:rPr>
              <w:t xml:space="preserve">IDEA CENTRAL  </w:t>
            </w:r>
            <w:r>
              <w:t>la entrevista psiquiátrica es, al mismo tiempo, un método de evaluación, una intervención clínica y una relación humana. Su calidad depende menos de formular una “pregunta perfecta” que de construir una secuencia comprensible, flexible y segura.</w:t>
            </w:r>
          </w:p>
        </w:tc>
      </w:tr>
    </w:tbl>
    <w:p>
      <w:pPr>
        <w:spacing w:after="0"/>
      </w:pPr>
    </w:p>
    <w:p>
      <w:pPr>
        <w:pStyle w:val="Heading1"/>
      </w:pPr>
      <w:r>
        <w:t>Por qué importa</w:t>
      </w:r>
    </w:p>
    <w:p>
      <w:r>
        <w:t>En psiquiatría, buena parte de la evidencia clínica se produce durante la conversación. El modo de preguntar modifica lo que la persona puede recordar y comunicar, incluida su disposición a revelar sustancias, psicosis, trauma o pensamientos suicidas. Una entrevista sin foco puede omitir riesgos; una rígida puede obtener respuestas completas, pero poco confiables.</w:t>
      </w:r>
    </w:p>
    <w:p>
      <w:r>
        <w:t>Para un interno, entrevistar bien significa comprender el motivo de consulta, observar el estado mental, reconocer urgencias y organizar hipótesis. No se espera que resuelva solo el caso: debe establecer un encuadre honesto, detectar cuándo necesita ayuda y presentar una síntesis a su supervisor.</w:t>
      </w:r>
    </w:p>
    <w:p>
      <w:pPr>
        <w:pStyle w:val="Heading1"/>
      </w:pPr>
      <w:r>
        <w:t>Objetivos de aprendizaje</w:t>
      </w:r>
    </w:p>
    <w:p>
      <w:pPr>
        <w:pStyle w:val="ListBullet"/>
      </w:pPr>
      <w:r>
        <w:t>Explicar las funciones y fases de una entrevista psiquiátrica.</w:t>
      </w:r>
    </w:p>
    <w:p>
      <w:pPr>
        <w:pStyle w:val="ListBullet"/>
      </w:pPr>
      <w:r>
        <w:t>Establecer un encuadre inicial claro, incluido el rol del interno y los límites de confidencialidad.</w:t>
      </w:r>
    </w:p>
    <w:p>
      <w:pPr>
        <w:pStyle w:val="ListBullet"/>
      </w:pPr>
      <w:r>
        <w:t>Combinar relato espontáneo, preguntas focalizadas y observación clínica.</w:t>
      </w:r>
    </w:p>
    <w:p>
      <w:pPr>
        <w:pStyle w:val="ListBullet"/>
      </w:pPr>
      <w:r>
        <w:t>Utilizar recursos comunicacionales que favorezcan la alianza sin confirmar explicaciones no verificadas.</w:t>
      </w:r>
    </w:p>
    <w:p>
      <w:pPr>
        <w:pStyle w:val="ListBullet"/>
      </w:pPr>
      <w:r>
        <w:t>Adaptar la entrevista al contexto ambulatorio, hospitalario, de urgencia o telemedicina.</w:t>
      </w:r>
    </w:p>
    <w:p>
      <w:pPr>
        <w:pStyle w:val="ListBullet"/>
      </w:pPr>
      <w:r>
        <w:t>Cerrar con una síntesis, un plan comprensible y una verificación de seguridad.</w:t>
      </w:r>
    </w:p>
    <w:p>
      <w:pPr>
        <w:pStyle w:val="Heading1"/>
      </w:pPr>
      <w:r>
        <w:t>Caso clínico</w:t>
      </w:r>
    </w:p>
    <w:p>
      <w:pPr>
        <w:shd w:fill="EAF3F7"/>
        <w:keepLines/>
        <w:pBdr>
          <w:left w:val="single" w:sz="8" w:space="8" w:color="246B8E"/>
        </w:pBdr>
        <w:ind w:left="173" w:right="86"/>
      </w:pPr>
      <w:r>
        <w:t>Daniela, de 29 años, consulta acompañada por su madre porque “no puede más con la ansiedad”. La madre comienza a responder por ella y enumera conflictos laborales, insomnio y crisis de llanto. Daniela permanece en silencio. El interno, preocupado por completar la ficha, hace varias preguntas seguidas y luego pregunta: “¿No ha pensado en hacerse algo, cierto?”. Daniela responde que no mientras baja la mirada. La entrevista empieza a cambiar cuando el interno se presenta como estudiante supervisado, explica cómo se manejará la información y pregunta a Daniela con quién prefiere conversar primero. Ella solicita un tramo a solas. Tras unos minutos de relato menos interrumpido, reconoce que ha imaginado no despertar y que hace una semana buscó en internet la toxicidad de un medicamento, aunque niega una decisión actual de ingerirlo. La forma de entrevistar no creó el riesgo: permitió conocerlo.</w:t>
      </w:r>
    </w:p>
    <w:p>
      <w:pPr>
        <w:pStyle w:val="Heading1"/>
      </w:pPr>
      <w:r>
        <w:t>La entrevista como instrumento clínico</w:t>
      </w:r>
    </w:p>
    <w:p>
      <w:r>
        <w:t>La entrevista no es sinónimo de anamnesis ni de examen mental. La anamnesis reconstruye acontecimientos y antecedentes; el examen mental describe el funcionamiento psíquico observable durante la evaluación; la formulación integra esos datos en una explicación provisional. Las tres tareas ocurren en paralelo. Mientras una persona relata insomnio, el entrevistador recoge su cronología, observa su latencia de respuesta y considera hipótesis como depresión, manía, ansiedad, consumo de sustancias o enfermedad médica.</w:t>
      </w:r>
    </w:p>
    <w:p>
      <w:r>
        <w:t>La conversación obtiene información, identifica riesgos y necesidades médicas, inicia una relación terapéutica y permite acordar decisiones. Estas funciones pueden entrar en tensión. En urgencia, la seguridad obliga a focalizar antes de disponer de un relato exhaustivo. La entrevista competente conserva objetivos y adapta la ruta.</w:t>
      </w:r>
    </w:p>
    <w:p>
      <w:r>
        <w:t>Una negación obtenida mediante una pregunta sugestiva no vale lo mismo que una exploración directa y gradual. Una contradicción tampoco implica necesariamente engaño: puede reflejar vergüenza, fluctuación, alteración de memoria o diferencias de contexto.</w:t>
      </w:r>
    </w:p>
    <w:p>
      <w:pPr>
        <w:pStyle w:val="Heading1"/>
      </w:pPr>
      <w:r>
        <w:t>Preparar el encuentro y establecer el encuadre</w:t>
      </w:r>
    </w:p>
    <w:p>
      <w:r>
        <w:t>Antes de comenzar, el entrevistador debe saber por qué se solicitó la evaluación, cuánto tiempo tiene, qué información clínica previa está disponible y qué riesgos inmediatos existen. El espacio debe ofrecer privacidad razonable, posibilidad de salida y condiciones de audición. Si hay agitación, intoxicación o amenaza, la seguridad del paciente, del equipo y de terceros precede a la entrevista extensa. Una persona médicamente inestable requiere evaluación somática y apoyo del equipo correspondiente.</w:t>
      </w:r>
    </w:p>
    <w:p>
      <w:r>
        <w:t>El inicio debe resolver preguntas simples que suelen quedar implícitas: quién es el entrevistador, cuál es su función, cuánto durará aproximadamente el encuentro, por qué se registrará información y qué sucederá con ella. El interno debe presentarse como tal y señalar que trabaja bajo supervisión. Hacerse pasar por tratante independiente erosiona la confianza y crea una responsabilidad que no corresponde a su nivel formativo.</w:t>
      </w:r>
    </w:p>
    <w:p>
      <w:r>
        <w:t>La confidencialidad se explica como regla general, no como promesa absoluta. La información clínica se protege, pero puede ser necesario comunicar la mínima información pertinente cuando existe una base asistencial o legal para hacerlo. No basta invocar “riesgo grave” como fórmula universal: el destinatario, el alcance y el fundamento de una revelación dependen del caso. Las decisiones concretas deben ajustarse a la legislación chilena —en especial, la Ley 20.584 y la Ley 21.331—, a los protocolos institucionales y a supervisión. No conviene abrir la consulta con una advertencia jurídica intimidante; sí informar los límites antes de explorar contenidos especialmente sensibles cuando ello sea posible.</w:t>
      </w:r>
    </w:p>
    <w:p>
      <w:r>
        <w:t>Si hay acompañantes, se identifica quiénes son y por qué están presentes. La persona entrevistada participa en la decisión sobre su permanencia siempre que la situación clínica lo permita. Reservar un tramo individual suele ser útil, en especial para explorar violencia, sexualidad, consumo y riesgo. Excluir automáticamente a la familia puede perder información y apoyos; permitir que responda todo puede borrar la voz del paciente.</w:t>
      </w:r>
    </w:p>
    <w:p>
      <w:pPr>
        <w:pStyle w:val="Heading1"/>
      </w:pPr>
      <w:r>
        <w:t>Abrir el relato y acordar una agenda</w:t>
      </w:r>
    </w:p>
    <w:p>
      <w:r>
        <w:t>Una pregunta amplia —“¿Qué ha estado ocurriendo?”— permite conocer no sólo los hechos, sino también cómo la persona organiza su experiencia. Durante los primeros minutos son útiles los silencios tolerables, las invitaciones breves a continuar y la observación. Interrumpir cada dato para completar una casilla fragmenta la narración. Sin embargo, escuchar no significa permanecer pasivo: el entrevistador debe detectar desorganización, distracción, compromiso de conciencia, angustia intensa o contenidos que exijan una priorización inmediata.</w:t>
      </w:r>
    </w:p>
    <w:p>
      <w:r>
        <w:t>El motivo referido por la persona, el motivo de derivación y la pregunta del equipo pueden ser distintos. Alguien puede consultar por insomnio, haber sido derivado por ausentismo y presentar en realidad un episodio depresivo con riesgo suicida. Conviene explicitar la agenda: “Quisiera entender qué le ocurre, revisar su salud y tratamientos, y preguntarle por seguridad; después resumiremos qué hacer”. Si existen varios problemas, se negocia qué puede abordarse hoy y qué deberá continuar en otra evaluación.</w:t>
      </w:r>
    </w:p>
    <w:p>
      <w:r>
        <w:t>Preguntar qué espera de la consulta evita suposiciones. Explorar esa expectativa no obliga a satisfacerla; permite anticipar desacuerdos y comunicar límites.</w:t>
      </w:r>
    </w:p>
    <w:p>
      <w:pPr>
        <w:pStyle w:val="Heading1"/>
      </w:pPr>
      <w:r>
        <w:t>Focalizar sin perder la alianza</w:t>
      </w:r>
    </w:p>
    <w:p>
      <w:r>
        <w:t>La entrevista progresa desde preguntas abiertas hacia otras más específicas. La focalización precisa inicio, duración, frecuencia, intensidad, contexto, interferencia funcional y relación temporal entre síntomas, tratamientos y sustancias. Son útiles las clarificaciones (“¿Qué quiere decir con sentirse perseguida?”), las peticiones de ejemplos, las recapitulaciones y las transiciones anunciadas. Una transición como “Ahora necesito hacerle preguntas directas sobre seguridad” disminuye la sensación de interrogatorio.</w:t>
      </w:r>
    </w:p>
    <w:p>
      <w:r>
        <w:t>Las preguntas deben contener una idea cada vez y evitar sugerir la respuesta. “¿Ha pensado que sería mejor morir?” es más claro que “¿No ha tenido ninguna idea rara, cierto?”. Ante una negación poco consistente con la conducta, no corresponde acusar. Puede decirse: “Me dice que no, pero noto que esta pregunta le resultó difícil; quisiera asegurarme de entender”. Preguntar directamente por suicidio no induce la conducta y permite diferenciar deseo de morir, ideación, intención, plan, preparativos y acceso a medios.</w:t>
      </w:r>
    </w:p>
    <w:p>
      <w:r>
        <w:t>La empatía consiste en reconocer la experiencia y su efecto, no en confirmar toda interpretación. Frente a una creencia persecutoria puede responderse: “Entiendo que esto le produce mucho miedo; yo no puedo comprobar que sus vecinos lo vigilen, pero quiero saber cómo lo está afectando”. La neutralidad tampoco equivale a frialdad. El entrevistador puede mostrar interés, nombrar una emoción observable con cautela y disculparse si una formulación resultó ofensiva.</w:t>
      </w:r>
    </w:p>
    <w:p>
      <w:r>
        <w:t>Los silencios pueden permitir elaborar una respuesta, pero deben contextualizarse: también pueden expresar emoción, sospecha, bloqueo, alteración cognitiva o dificultad auditiva. Cuando el relato se vuelve tangencial, resumir y anunciar el foco protege el tiempo sin humillar.</w:t>
      </w:r>
    </w:p>
    <w:p>
      <w:pPr>
        <w:pStyle w:val="Heading1"/>
      </w:pPr>
      <w:r>
        <w:t>Adaptar la estructura al contexto</w:t>
      </w:r>
    </w:p>
    <w:p>
      <w:r>
        <w:t>En urgencia se priorizan conciencia, estabilidad médica, intoxicación o abstinencia, agitación, riesgo suicida o de violencia y capacidad de colaborar. La historia completa puede esperar. En hospitalización es importante aclarar quién solicita la evaluación, el grado de voluntariedad y la función del equipo. Si la persona se encuentra bajo una medida restrictiva, no debe presentarse la conversación como enteramente opcional, aunque sí pueden ofrecerse elecciones reales sobre ritmo, acompañamiento o momento cuando la seguridad lo permite.</w:t>
      </w:r>
    </w:p>
    <w:p>
      <w:r>
        <w:t>En telemedicina se confirman identidad, ubicación física, privacidad, presencia de terceros, teléfono de contacto y plan ante una desconexión. Si no es posible evaluar adecuadamente conciencia, psicomotricidad o seguridad, se requiere una modalidad presencial o una derivación de urgencia. Las barreras de idioma o comunicación ameritan intérprete competente; no es apropiado usar a niños ni a una persona que podría ejercer coerción. También deben ajustarse ritmo y lenguaje ante discapacidad sensorial, dificultades cognitivas, neurodivergencia o bajo nivel de alfabetización en salud.</w:t>
      </w:r>
    </w:p>
    <w:p>
      <w:pPr>
        <w:pStyle w:val="Heading1"/>
      </w:pPr>
      <w:r>
        <w:t>Integrar y cerrar</w:t>
      </w:r>
    </w:p>
    <w:p>
      <w:r>
        <w:t>El cierre no es el momento de huir porque terminó el tiempo. Se avisa que la entrevista se aproxima al final, se pregunta si falta algo esencial y se resume lo comprendido en lenguaje cotidiano. La persona puede corregir errores. Una síntesis útil distingue hechos, hipótesis e incertidumbres: “Veo síntomas depresivos y ansiedad; todavía necesitamos aclarar si hubo períodos de ánimo elevado y revisar el uso de corticoides”. Conviene comprobar comprensión pidiendo que la persona explique con sus palabras la siguiente acción; preguntar solamente “¿entendió?” suele obtener un sí poco informativo.</w:t>
      </w:r>
    </w:p>
    <w:p>
      <w:r>
        <w:t>El plan debe especificar qué ocurrirá, quién es responsable y en qué plazo general, sin prometer resultados que dependen de terceros. Cuando existe riesgo, se acuerdan medidas inmediatas y se solicita supervisión sin demora. No se debe terminar justo después de explorar trauma o suicidio: es necesario contener, verificar el estado actual, movilizar apoyos y explicar la siguiente acción. En Daniela, la revelación de preparativos recientes obliga al interno a informar a su supervisor durante la atención y a completar una evaluación de riesgo y un plan seguro; no basta con felicitarla por haber hablado.</w:t>
      </w:r>
    </w:p>
    <w:p>
      <w:pPr>
        <w:pStyle w:val="Heading1"/>
      </w:pPr>
      <w:r>
        <w:t>Errores frecuentes</w:t>
      </w:r>
    </w:p>
    <w:p>
      <w:pPr>
        <w:pStyle w:val="ListBullet"/>
      </w:pPr>
      <w:r>
        <w:t>Presentarse como tratante autónomo cuando se trabaja bajo supervisión.</w:t>
      </w:r>
    </w:p>
    <w:p>
      <w:pPr>
        <w:pStyle w:val="ListBullet"/>
      </w:pPr>
      <w:r>
        <w:t>Prometer secreto absoluto o, en el extremo opuesto, usar los límites de confidencialidad como amenaza.</w:t>
      </w:r>
    </w:p>
    <w:p>
      <w:pPr>
        <w:pStyle w:val="ListBullet"/>
      </w:pPr>
      <w:r>
        <w:t>Leer una lista de síntomas antes de comprender el motivo de consulta.</w:t>
      </w:r>
    </w:p>
    <w:p>
      <w:pPr>
        <w:pStyle w:val="ListBullet"/>
      </w:pPr>
      <w:r>
        <w:t>Formular preguntas dobles, técnicas o sugestivas y tratar sus respuestas como datos firmes.</w:t>
      </w:r>
    </w:p>
    <w:p>
      <w:pPr>
        <w:pStyle w:val="ListBullet"/>
      </w:pPr>
      <w:r>
        <w:t>Confundir validación emocional con confirmar una idea delirante o una acusación no verificada.</w:t>
      </w:r>
    </w:p>
    <w:p>
      <w:pPr>
        <w:pStyle w:val="ListBullet"/>
      </w:pPr>
      <w:r>
        <w:t>Posponer las preguntas de seguridad hasta los segundos finales.</w:t>
      </w:r>
    </w:p>
    <w:p>
      <w:pPr>
        <w:pStyle w:val="ListBullet"/>
      </w:pPr>
      <w:r>
        <w:t>Recoger información extensa sin integrar ni comunicar un plan.</w:t>
      </w:r>
    </w:p>
    <w:p>
      <w:pPr>
        <w:pStyle w:val="Heading1"/>
      </w:pPr>
      <w:r>
        <w:t>Para recordar</w:t>
      </w:r>
    </w:p>
    <w:p>
      <w:pPr>
        <w:spacing w:after="60" w:line="288" w:lineRule="auto"/>
        <w:ind w:left="432" w:hanging="216"/>
        <w:shd w:fill="EAF6F3"/>
        <w:keepNext/>
        <w:keepLines/>
        <w:pBdr>
          <w:left w:val="single" w:sz="8" w:space="8" w:color="2A8C82"/>
        </w:pBdr>
      </w:pPr>
      <w:r>
        <w:t>1. La estructura sostiene la alianza cuando se explica y se aplica con flexibilidad.</w:t>
      </w:r>
    </w:p>
    <w:p>
      <w:pPr>
        <w:spacing w:after="60" w:line="288" w:lineRule="auto"/>
        <w:ind w:left="432" w:hanging="216"/>
        <w:shd w:fill="EAF6F3"/>
        <w:keepNext/>
        <w:keepLines/>
        <w:pBdr>
          <w:left w:val="single" w:sz="8" w:space="8" w:color="2A8C82"/>
        </w:pBdr>
      </w:pPr>
      <w:r>
        <w:t>2. El relato se abre primero y luego se focaliza según hipótesis y riesgos.</w:t>
      </w:r>
    </w:p>
    <w:p>
      <w:pPr>
        <w:spacing w:after="60" w:line="288" w:lineRule="auto"/>
        <w:ind w:left="432" w:hanging="216"/>
        <w:shd w:fill="EAF6F3"/>
        <w:keepNext/>
        <w:keepLines/>
        <w:pBdr>
          <w:left w:val="single" w:sz="8" w:space="8" w:color="2A8C82"/>
        </w:pBdr>
      </w:pPr>
      <w:r>
        <w:t>3. La calidad de una respuesta depende también de cómo y en qué contexto fue obtenida.</w:t>
      </w:r>
    </w:p>
    <w:p>
      <w:pPr>
        <w:spacing w:after="60" w:line="288" w:lineRule="auto"/>
        <w:ind w:left="432" w:hanging="216"/>
        <w:shd w:fill="EAF6F3"/>
        <w:keepNext/>
        <w:keepLines/>
        <w:pBdr>
          <w:left w:val="single" w:sz="8" w:space="8" w:color="2A8C82"/>
        </w:pBdr>
      </w:pPr>
      <w:r>
        <w:t>4. Empatizar con el sufrimiento no exige aceptar como cierta toda explicación.</w:t>
      </w:r>
    </w:p>
    <w:p>
      <w:pPr>
        <w:spacing w:after="60" w:line="288" w:lineRule="auto"/>
        <w:ind w:left="432" w:hanging="216"/>
        <w:shd w:fill="EAF6F3"/>
        <w:keepLines/>
        <w:pBdr>
          <w:left w:val="single" w:sz="8" w:space="8" w:color="2A8C82"/>
        </w:pBdr>
      </w:pPr>
      <w:r>
        <w:t>5. Una entrevista termina con síntesis, incertidumbres explícitas y un plan seguro.</w:t>
      </w:r>
    </w:p>
    <w:p>
      <w:pPr>
        <w:pStyle w:val="Heading1"/>
      </w:pPr>
      <w:r>
        <w:t>Bibliografía esencial</w:t>
      </w:r>
    </w:p>
    <w:p>
      <w:pPr>
        <w:pStyle w:val="Bibliography"/>
      </w:pPr>
      <w:r>
        <w:t xml:space="preserve">• Carlat DJ. </w:t>
      </w:r>
      <w:r>
        <w:rPr>
          <w:i/>
        </w:rPr>
        <w:t>The Psychiatric Interview</w:t>
      </w:r>
      <w:r>
        <w:t>. 5th ed. Wolters Kluwer; 2023.</w:t>
      </w:r>
    </w:p>
    <w:p>
      <w:pPr>
        <w:pStyle w:val="Bibliography"/>
      </w:pPr>
      <w:r>
        <w:t xml:space="preserve">• Mackinnon RA, Michels R, Buckley PJ. </w:t>
      </w:r>
      <w:r>
        <w:rPr>
          <w:i/>
        </w:rPr>
        <w:t>The Psychiatric Interview in Clinical Practice</w:t>
      </w:r>
      <w:r>
        <w:t>. 3rd ed. American Psychiatric Publishing; 2015.</w:t>
      </w:r>
    </w:p>
    <w:p>
      <w:pPr>
        <w:pStyle w:val="Bibliography"/>
      </w:pPr>
      <w:r>
        <w:t xml:space="preserve">• Shea SC. </w:t>
      </w:r>
      <w:r>
        <w:rPr>
          <w:i/>
        </w:rPr>
        <w:t>Psychiatric Interviewing: The Art of Understanding</w:t>
      </w:r>
      <w:r>
        <w:t>. 3rd ed. Elsevier; 2016.</w:t>
      </w:r>
    </w:p>
    <w:p>
      <w:pPr>
        <w:pStyle w:val="Bibliography"/>
      </w:pPr>
      <w:r>
        <w:t xml:space="preserve">• Chile. </w:t>
      </w:r>
      <w:r>
        <w:rPr>
          <w:i/>
        </w:rPr>
        <w:t>Ley N.º 20.584: Regula los derechos y deberes que tienen las personas en relación con acciones vinculadas a su atención en salud</w:t>
      </w:r>
      <w:r>
        <w:t xml:space="preserve">. Diario Oficial; 24 de abril de 2012. </w:t>
      </w:r>
      <w:hyperlink r:id="rId11">
        <w:r>
          <w:rPr>
            <w:color w:val="246B8E"/>
            <w:u w:val="single"/>
          </w:rPr>
          <w:t>Texto actualizado, Biblioteca del Congreso Nacional</w:t>
        </w:r>
      </w:hyperlink>
      <w:r>
        <w:t>.</w:t>
      </w:r>
    </w:p>
    <w:p>
      <w:pPr>
        <w:pStyle w:val="Bibliography"/>
      </w:pPr>
      <w:r>
        <w:t xml:space="preserve">• Chile. </w:t>
      </w:r>
      <w:r>
        <w:rPr>
          <w:i/>
        </w:rPr>
        <w:t>Ley N.º 21.331: Del reconocimiento y protección de los derechos de las personas en la atención de salud mental</w:t>
      </w:r>
      <w:r>
        <w:t xml:space="preserve">. Diario Oficial; 11 de mayo de 2021. </w:t>
      </w:r>
      <w:hyperlink r:id="rId12">
        <w:r>
          <w:rPr>
            <w:color w:val="246B8E"/>
            <w:u w:val="single"/>
          </w:rPr>
          <w:t>Texto oficial, Biblioteca del Congreso Nacional</w:t>
        </w:r>
      </w:hyperlink>
      <w:r>
        <w:t>.</w:t>
      </w:r>
    </w:p>
    <w:p>
      <w:pPr>
        <w:pStyle w:val="Bibliography"/>
      </w:pPr>
      <w:r>
        <w:t xml:space="preserve">• Silverman JJ, Galanter M, Jackson-Triche M, et al. The American Psychiatric Association practice guidelines for the psychiatric evaluation of adults. </w:t>
      </w:r>
      <w:r>
        <w:rPr>
          <w:i/>
        </w:rPr>
        <w:t>American Journal of Psychiatry</w:t>
      </w:r>
      <w:r>
        <w:t xml:space="preserve">. 2015;172(8):798–802. </w:t>
      </w:r>
      <w:hyperlink r:id="rId13">
        <w:r>
          <w:rPr>
            <w:color w:val="246B8E"/>
            <w:u w:val="single"/>
          </w:rPr>
          <w:t>doi:10.1176/appi.ajp.2015.1720501</w:t>
        </w:r>
      </w:hyperlink>
      <w:r>
        <w:t>.</w:t>
      </w:r>
    </w:p>
    <w:p>
      <w:r>
        <w:br w:type="page"/>
      </w:r>
    </w:p>
    <w:p>
      <w:pPr>
        <w:spacing w:after="480"/>
      </w:pPr>
      <w:r>
        <w:rPr>
          <w:rFonts w:ascii="Calibri" w:hAnsi="Calibri"/>
          <w:b/>
          <w:color w:val="2A8C82"/>
          <w:sz w:val="20"/>
        </w:rPr>
        <w:t>CAPÍTULO 02 · MATERIAL PARA ESTUDIANTES</w:t>
      </w:r>
    </w:p>
    <w:tbl>
      <w:tblPr>
        <w:tblW w:type="auto" w:w="0"/>
        <w:jc w:val="left"/>
        <w:tblLayout w:type="fixed"/>
        <w:tblLook w:firstColumn="1" w:firstRow="1" w:lastColumn="0" w:lastRow="0" w:noHBand="0" w:noVBand="1" w:val="04A0"/>
      </w:tblPr>
      <w:tblGrid>
        <w:gridCol w:w="9648"/>
      </w:tblGrid>
      <w:tr>
        <w:trPr>
          <w:tblHeader w:val="true"/>
        </w:trPr>
        <w:tc>
          <w:tcPr>
            <w:tcW w:type="dxa" w:w="9072"/>
            <w:shd w:fill="173A5E"/>
            <w:tcMar>
              <w:top w:w="120" w:type="dxa"/>
              <w:start w:w="220" w:type="dxa"/>
              <w:bottom w:w="120" w:type="dxa"/>
              <w:end w:w="220" w:type="dxa"/>
            </w:tcMar>
          </w:tcPr>
          <w:p>
            <w:pPr>
              <w:spacing w:after="0"/>
            </w:pPr>
            <w:r>
              <w:rPr>
                <w:rFonts w:ascii="Calibri" w:hAnsi="Calibri"/>
                <w:b/>
                <w:color w:val="FFFFFF"/>
                <w:sz w:val="19"/>
              </w:rPr>
              <w:t>MÓDULO I · ENTREVISTA, EXAMEN MENTAL Y RAZONAMIENTO CLÍNICO</w:t>
            </w:r>
          </w:p>
        </w:tc>
      </w:tr>
    </w:tbl>
    <w:p>
      <w:pPr>
        <w:pStyle w:val="Title"/>
        <w:spacing w:before="520" w:after="360"/>
        <w:outlineLvl w:val="0"/>
      </w:pPr>
      <w:bookmarkStart w:id="1002" w:name="chapter_02"/>
      <w:r>
        <w:t>Anamnesis psiquiátrica e historia longitudinal</w:t>
      </w:r>
      <w:bookmarkEnd w:id="1002"/>
    </w:p>
    <w:p>
      <w:pPr>
        <w:spacing w:after="80"/>
      </w:pPr>
      <w:r>
        <w:rPr>
          <w:rFonts w:ascii="Calibri" w:hAnsi="Calibri"/>
          <w:b/>
          <w:color w:val="246B8E"/>
          <w:sz w:val="26"/>
        </w:rPr>
        <w:t>Programa de Psiquiatría para internos de Medicina</w:t>
      </w:r>
    </w:p>
    <w:p>
      <w:r>
        <w:rPr>
          <w:rFonts w:ascii="Calibri" w:hAnsi="Calibri"/>
          <w:color w:val="6B7280"/>
          <w:sz w:val="22"/>
        </w:rPr>
        <w:t>Lectura complementaria · Chile · Versión final para revisión humana · 2026</w:t>
      </w:r>
    </w:p>
    <w:p/>
    <w:p/>
    <w:p/>
    <w:p/>
    <w:p/>
    <w:tbl>
      <w:tblPr>
        <w:tblW w:type="auto" w:w="0"/>
        <w:jc w:val="left"/>
        <w:tblLayout w:type="fixed"/>
        <w:tblLook w:firstColumn="1" w:firstRow="1" w:lastColumn="0" w:lastRow="0" w:noHBand="0" w:noVBand="1" w:val="04A0"/>
      </w:tblPr>
      <w:tblGrid>
        <w:gridCol w:w="9648"/>
      </w:tblGrid>
      <w:tr>
        <w:trPr>
          <w:tblHeader w:val="true"/>
        </w:trPr>
        <w:tc>
          <w:tcPr>
            <w:tcW w:type="dxa" w:w="9648"/>
            <w:shd w:fill="F3F5F6"/>
            <w:tcBorders>
              <w:start w:val="single" w:sz="18" w:color="2A8C82"/>
            </w:tcBorders>
            <w:tcMar>
              <w:top w:w="160" w:type="dxa"/>
              <w:start w:w="220" w:type="dxa"/>
              <w:bottom w:w="160" w:type="dxa"/>
              <w:end w:w="220" w:type="dxa"/>
            </w:tcMar>
          </w:tcPr>
          <w:p>
            <w:pPr>
              <w:spacing w:after="0"/>
            </w:pPr>
            <w:r>
              <w:rPr>
                <w:rFonts w:ascii="Calibri" w:hAnsi="Calibri"/>
                <w:i/>
                <w:color w:val="6B7280"/>
                <w:sz w:val="18"/>
              </w:rPr>
              <w:t>Versión docente final para revisión humana. Material propuesto y contextualizado a Chile; no corresponde a un programa oficial de la Pontificia Universidad Católica de Chile ni sustituye protocolos locales, supervisión clínica o evaluación especializada. Fuentes revisadas al 15 de agosto de 2026.</w:t>
            </w:r>
          </w:p>
        </w:tc>
      </w:tr>
    </w:tbl>
    <w:p>
      <w:r>
        <w:br w:type="page"/>
      </w:r>
    </w:p>
    <w:tbl>
      <w:tblPr>
        <w:tblW w:type="auto" w:w="0"/>
        <w:jc w:val="center"/>
        <w:tblLayout w:type="autofit"/>
        <w:tblLook w:firstColumn="1" w:firstRow="1" w:lastColumn="0" w:lastRow="0" w:noHBand="0" w:noVBand="1" w:val="04A0"/>
      </w:tblPr>
      <w:tblGrid>
        <w:gridCol w:w="9648"/>
      </w:tblGrid>
      <w:tr>
        <w:trPr>
          <w:tblHeader w:val="true"/>
        </w:trPr>
        <w:tc>
          <w:tcPr>
            <w:tcW w:type="dxa" w:w="9648"/>
            <w:vAlign w:val="center"/>
            <w:shd w:fill="EAF3F7"/>
            <w:tcBorders>
              <w:start w:val="single" w:sz="14" w:color="2A8C82"/>
            </w:tcBorders>
            <w:tcMar>
              <w:top w:w="130" w:type="dxa"/>
              <w:start w:w="190" w:type="dxa"/>
              <w:bottom w:w="130" w:type="dxa"/>
              <w:end w:w="190" w:type="dxa"/>
            </w:tcMar>
          </w:tcPr>
          <w:p>
            <w:pPr>
              <w:spacing w:after="0"/>
            </w:pPr>
            <w:r>
              <w:rPr>
                <w:b/>
                <w:color w:val="173A5E"/>
              </w:rPr>
              <w:t xml:space="preserve">PREGUNTA CLÍNICA  </w:t>
            </w:r>
            <w:r>
              <w:t>¿Cómo reconstruir una trayectoria clínica capaz de distinguir un episodio aislado de un trastorno recurrente, una condición secundaria o una variación del funcionamiento habitual?</w:t>
            </w:r>
          </w:p>
        </w:tc>
      </w:tr>
    </w:tbl>
    <w:p>
      <w:pPr>
        <w:spacing w:after="0"/>
      </w:pPr>
    </w:p>
    <w:tbl>
      <w:tblPr>
        <w:tblW w:type="auto" w:w="0"/>
        <w:jc w:val="center"/>
        <w:tblLayout w:type="autofit"/>
        <w:tblLook w:firstColumn="1" w:firstRow="1" w:lastColumn="0" w:lastRow="0" w:noHBand="0" w:noVBand="1" w:val="04A0"/>
      </w:tblPr>
      <w:tblGrid>
        <w:gridCol w:w="9648"/>
      </w:tblGrid>
      <w:tr>
        <w:trPr>
          <w:tblHeader w:val="true"/>
        </w:trPr>
        <w:tc>
          <w:tcPr>
            <w:tcW w:type="dxa" w:w="9648"/>
            <w:vAlign w:val="center"/>
            <w:shd w:fill="EAF6F3"/>
            <w:tcBorders>
              <w:start w:val="single" w:sz="14" w:color="2A8C82"/>
            </w:tcBorders>
            <w:tcMar>
              <w:top w:w="130" w:type="dxa"/>
              <w:start w:w="190" w:type="dxa"/>
              <w:bottom w:w="130" w:type="dxa"/>
              <w:end w:w="190" w:type="dxa"/>
            </w:tcMar>
          </w:tcPr>
          <w:p>
            <w:pPr>
              <w:spacing w:after="0"/>
            </w:pPr>
            <w:r>
              <w:rPr>
                <w:b/>
                <w:color w:val="173A5E"/>
              </w:rPr>
              <w:t xml:space="preserve">IDEA CENTRAL  </w:t>
            </w:r>
            <w:r>
              <w:t>en psiquiatría, la fotografía transversal describe el estado actual, pero la película longitudinal suele decidir el diagnóstico y el tratamiento.</w:t>
            </w:r>
          </w:p>
        </w:tc>
      </w:tr>
    </w:tbl>
    <w:p>
      <w:pPr>
        <w:spacing w:after="0"/>
      </w:pPr>
    </w:p>
    <w:p>
      <w:pPr>
        <w:pStyle w:val="Heading1"/>
      </w:pPr>
      <w:r>
        <w:t>Por qué importa</w:t>
      </w:r>
    </w:p>
    <w:p>
      <w:r>
        <w:t>Síntomas similares pueden provenir de procesos muy distintos. Ánimo bajo, insomnio y menor rendimiento pueden corresponder a depresión unipolar, depresión bipolar, duelo, consumo de sustancias, efecto farmacológico o enfermedad médica. Si el entrevistador sólo completa una lista de síntomas actuales, puede identificar correctamente un síndrome y equivocarse respecto del trastorno que lo explica.</w:t>
      </w:r>
    </w:p>
    <w:p>
      <w:r>
        <w:t>La anamnesis longitudinal organiza los datos en el tiempo: inicio, secuencia, episodios previos, recuperación, exposiciones y respuesta a tratamientos. También permite detectar diagnósticos heredados que nunca fueron comprobados, ensayos terapéuticos insuficientes y cambios funcionales que la persona ha normalizado. No exige escribir una biografía total. Exige seleccionar antecedentes capaces de confirmar, debilitar o modificar hipótesis clínicas.</w:t>
      </w:r>
    </w:p>
    <w:p>
      <w:pPr>
        <w:pStyle w:val="Heading1"/>
      </w:pPr>
      <w:r>
        <w:t>Objetivos de aprendizaje</w:t>
      </w:r>
    </w:p>
    <w:p>
      <w:pPr>
        <w:pStyle w:val="ListBullet"/>
      </w:pPr>
      <w:r>
        <w:t>Construir una anamnesis próxima cronológica y centrada en cambios respecto del funcionamiento basal.</w:t>
      </w:r>
    </w:p>
    <w:p>
      <w:pPr>
        <w:pStyle w:val="ListBullet"/>
      </w:pPr>
      <w:r>
        <w:t>Reconstruir episodios previos, intervalos interepisódicos y patrones de recurrencia.</w:t>
      </w:r>
    </w:p>
    <w:p>
      <w:pPr>
        <w:pStyle w:val="ListBullet"/>
      </w:pPr>
      <w:r>
        <w:t>Evaluar adecuación, adherencia, respuesta y tolerabilidad de tratamientos anteriores.</w:t>
      </w:r>
    </w:p>
    <w:p>
      <w:pPr>
        <w:pStyle w:val="ListBullet"/>
      </w:pPr>
      <w:r>
        <w:t>Integrar enfermedades médicas, fármacos, sustancias y eventos reproductivos en la misma línea temporal.</w:t>
      </w:r>
    </w:p>
    <w:p>
      <w:pPr>
        <w:pStyle w:val="ListBullet"/>
      </w:pPr>
      <w:r>
        <w:t>Seleccionar antecedentes familiares, del desarrollo y sociales pertinentes para el problema actual.</w:t>
      </w:r>
    </w:p>
    <w:p>
      <w:pPr>
        <w:pStyle w:val="ListBullet"/>
      </w:pPr>
      <w:r>
        <w:t>Identificar vacíos, contradicciones y datos que requieren información colateral.</w:t>
      </w:r>
    </w:p>
    <w:p>
      <w:pPr>
        <w:pStyle w:val="ListBullet"/>
      </w:pPr>
      <w:r>
        <w:t>Redactar una síntesis longitudinal que contraste hipótesis sin presentar inferencias como hechos.</w:t>
      </w:r>
    </w:p>
    <w:p>
      <w:pPr>
        <w:pStyle w:val="Heading1"/>
      </w:pPr>
      <w:r>
        <w:t>Caso clínico</w:t>
      </w:r>
    </w:p>
    <w:p>
      <w:pPr>
        <w:shd w:fill="EAF3F7"/>
        <w:keepLines/>
        <w:pBdr>
          <w:left w:val="single" w:sz="8" w:space="8" w:color="246B8E"/>
        </w:pBdr>
        <w:ind w:left="173" w:right="86"/>
      </w:pPr>
      <w:r>
        <w:t>Marcela, de 38 años, consulta por dos meses de ánimo bajo, pérdida de interés, insomnio y deterioro laboral. Refiere “tres antidepresivos que no funcionaron” y porta el diagnóstico de depresión resistente. Al reconstruir su historia, describe a los 26 años diez días con sueño de tres horas sin cansancio, aumento de actividad, proyectos simultáneos, gastos inhabituales y discusiones laborales. Su hermana recuerda que hablaba más rápido y que luego permaneció varias semanas deprimida. Marcela también recibe pulsos intermitentes de corticoides por una enfermedad autoinmune; uno coincidió con un período posterior de irritabilidad e insomnio. Dos antidepresivos se usaron menos de cuatro semanas y el tercero se tomó de manera irregular. La cronología no establece por sí sola un diagnóstico bipolar ni atribuye todo a corticoides, pero vuelve insostenible la etiqueta automática de “depresión unipolar resistente”.</w:t>
      </w:r>
    </w:p>
    <w:p>
      <w:pPr>
        <w:pStyle w:val="Heading1"/>
      </w:pPr>
      <w:r>
        <w:t>Comenzar por el episodio actual y el funcionamiento basal</w:t>
      </w:r>
    </w:p>
    <w:p>
      <w:r>
        <w:t>La anamnesis próxima debe comenzar por el cambio clínicamente significativo. Es útil preguntar cuándo fue la última vez que la persona se sintió y funcionó como de costumbre, y qué notaron primero ella o quienes la conocen. El “inicio” no siempre es una fecha: puede ser un período aproximado, un acontecimiento o una transición. Debe precisarse si fue abrupto o insidioso, espontáneo o relacionado temporalmente con una exposición.</w:t>
      </w:r>
    </w:p>
    <w:p>
      <w:r>
        <w:t>Los síntomas se ordenan por aparición, no sólo por categorías diagnósticas. ¿Qué ocurrió antes: el insomnio, el aumento de energía, el temor o el consumo? ¿Cómo evolucionó cada fenómeno? Se describen duración, frecuencia, intensidad, fluctuación, contexto, factores que agravan o alivian y consecuencias. Un calendario, acontecimientos biográficos y registros de atención pueden ayudar a disminuir el sesgo retrospectivo.</w:t>
      </w:r>
    </w:p>
    <w:p>
      <w:r>
        <w:t>El funcionamiento basal es el término de comparación. Incluye autocuidado, tareas domésticas, estudio o trabajo, relaciones, ocio, manejo de dinero y medicación, sueño habitual y responsabilidades de cuidado. El deterioro puede preceder a la consulta o persistir cuando los síntomas más visibles han disminuido. También conviene registrar capacidades preservadas y apoyos disponibles. Reducir a la persona a sus déficits empobrece la formulación y el plan.</w:t>
      </w:r>
    </w:p>
    <w:p>
      <w:r>
        <w:t>Una cronología rigurosa incluye negativos pertinentes. Si se considera manía, debe consignarse si hubo o no menor necesidad de dormir, aumento de actividad dirigida a metas, grandiosidad, presión del habla, desinhibición y deterioro. “Niega manía” es menos informativo que documentar los fenómenos explorados y reconocer cuando la historia es incierta.</w:t>
      </w:r>
    </w:p>
    <w:p>
      <w:pPr>
        <w:pStyle w:val="Heading1"/>
      </w:pPr>
      <w:r>
        <w:t>Reconstruir episodios e intervalos</w:t>
      </w:r>
    </w:p>
    <w:p>
      <w:r>
        <w:t>Para cada episodio previo se estiman edad de inicio, polaridad o síndrome predominante, duración, gravedad, compromiso funcional, síntomas psicóticos, riesgo suicida, agresividad, hospitalización y tratamiento recibido. Debe distinguirse la persistencia del mismo episodio de una recaída tras mejoría parcial y de una recurrencia después de una remisión suficiente. En la práctica, los límites suelen ser aproximados; la incertidumbre se registra en lugar de inventar precisión.</w:t>
      </w:r>
    </w:p>
    <w:p>
      <w:r>
        <w:t>Los intervalos entre episodios aportan información diagnóstica y pronóstica. La recuperación puede ser completa, parcial o progresivamente menor. La presencia de síntomas residuales, deterioro cognitivo, aislamiento o dificultades laborales cambia la interpretación del curso. También se exploran patrones estacionales, relación con privación de sueño, viajes, turnos, período perinatal, ciclo menstrual o menopausia cuando sean clínicamente pertinentes.</w:t>
      </w:r>
    </w:p>
    <w:p>
      <w:r>
        <w:t>En cuadros depresivos es indispensable preguntar por antecedentes de hipomanía o manía, incluso si nunca fueron vividos como enfermedad. La persona puede recordar esos períodos como etapas de productividad y no informarlos espontáneamente. Preguntas conductuales concretas son preferibles a preguntar si “ha sido bipolar”. La información de familiares, fichas previas, licencias, compras u hospitalizaciones puede ser decisiva, siempre interpretada críticamente.</w:t>
      </w:r>
    </w:p>
    <w:p>
      <w:r>
        <w:t>El inicio tardío, un cambio abrupto de personalidad, fluctuaciones marcadas, deterioro cognitivo, signos neurológicos o una relación estrecha con medicamentos o sustancias deben aumentar la sospecha de causas secundarias. Esto no significa pedir exámenes indiscriminados, sino orientar la evaluación desde la historia.</w:t>
      </w:r>
    </w:p>
    <w:p>
      <w:pPr>
        <w:pStyle w:val="Heading1"/>
      </w:pPr>
      <w:r>
        <w:t>Evaluar tratamientos previos sin llamar fracaso a lo desconocido</w:t>
      </w:r>
    </w:p>
    <w:p>
      <w:r>
        <w:t>Una lista de fármacos no describe un tratamiento. Para cada intervención se intenta conocer indicación, dosis, titulación, duración, regularidad, respuesta, efectos adversos, motivo de suspensión y tratamientos concomitantes. Cuando sea posible, se distingue la memoria del paciente de la información documentada. “No funcionó” puede significar falta de eficacia, intolerancia, expectativas irreales, costo, mala adherencia o interrupción precoz.</w:t>
      </w:r>
    </w:p>
    <w:p>
      <w:r>
        <w:t>La resistencia terapéutica sólo puede considerarse después de comprobar ensayos adecuados para el diagnóstico y la fase clínica correspondientes. Dos semanas de dosis baja o una toma esporádica no constituyen un fracaso farmacológico. Tampoco debe confundirse discontinuación por efectos adversos con ineficacia. En psicoterapia se registra modalidad, objetivo, frecuencia, duración, participación y resultado; “fue a psicólogo” dice muy poco.</w:t>
      </w:r>
    </w:p>
    <w:p>
      <w:r>
        <w:t>La adherencia se explora sin reproche. Preguntas como “Muchas personas omiten dosis; ¿cuántas cree que tomó la última semana?” suelen ser más útiles que “¿Se tomó todo como le indicaron?”. Se revisan barreras: acceso, horarios, efectos adversos, estigma, consumo, dificultades cognitivas, desacuerdo diagnóstico o instrucciones poco claras. La conducta del sistema también forma parte del tratamiento recibido.</w:t>
      </w:r>
    </w:p>
    <w:p>
      <w:pPr>
        <w:pStyle w:val="Heading1"/>
      </w:pPr>
      <w:r>
        <w:t>Integrar salud médica, medicamentos y sustancias</w:t>
      </w:r>
    </w:p>
    <w:p>
      <w:r>
        <w:t>Los antecedentes médicos se seleccionan según el problema: enfermedades neurológicas, endocrinas, autoinmunes, infecciosas, cardiometabólicas, dolor crónico y trastornos del sueño suelen ser relevantes, pero no son una lista cerrada. Se indagan traumatismo craneoencefálico, epilepsia, episodios confusionales y cambios cognitivos. Embarazo, puerperio, lactancia, anticoncepción, fertilidad y planificación reproductiva deben incluirse cuando modifican riesgos o decisiones.</w:t>
      </w:r>
    </w:p>
    <w:p>
      <w:r>
        <w:t>Se revisan medicamentos prescritos, de venta libre, suplementos y productos “naturales”. Corticoides, dopaminérgicos, anticolinérgicos, estimulantes y otros pueden producir o agravar síntomas psiquiátricos; la relación temporal importa más que memorizar una lista. Alergia y efecto adverso se registran por separado.</w:t>
      </w:r>
    </w:p>
    <w:p>
      <w:r>
        <w:t>El consumo se pregunta de manera universal y no moralizante: sustancia, cantidad, frecuencia, vía, patrón, última exposición, tolerancia, abstinencia y consecuencias. Deben incluirse alcohol, tabaco o nicotina, cannabis, estimulantes, sedantes, opioides, alucinógenos y fármacos no prescritos, además de cafeína y energéticas cuando sean plausibles. Para explicar un cuadro inducido se requiere examinar la secuencia entre exposición, comienzo de síntomas, abstinencia y persistencia; una prueba toxicológica positiva no demuestra causalidad por sí sola.</w:t>
      </w:r>
    </w:p>
    <w:p>
      <w:pPr>
        <w:pStyle w:val="Heading1"/>
      </w:pPr>
      <w:r>
        <w:t>Antecedentes familiares, desarrollo y contexto</w:t>
      </w:r>
    </w:p>
    <w:p>
      <w:r>
        <w:t>Los antecedentes familiares relevantes incluyen trastornos del ánimo, psicosis, consumo problemático, suicidio, epilepsia y enfermedades neurocognitivas. Conviene identificar parentesco, características observables y grado de certeza; “depresión en toda la familia” puede condensar fenómenos muy diferentes.</w:t>
      </w:r>
    </w:p>
    <w:p>
      <w:r>
        <w:t>La historia del desarrollo, escolaridad, relaciones, trauma y adversidad se explora con una profundidad guiada por las hipótesis y por la tolerancia de la persona. No se solicitan detalles traumáticos gráficos si no son necesarios para la decisión actual. Vivienda, trabajo, finanzas, migración, responsabilidades de cuidado, acceso a salud y red de apoyo pueden precipitar, perpetuar o proteger. También importan valores, cultura, identidad y proyecto vital cuando dan significado al cuadro o condicionan la aceptación del tratamiento.</w:t>
      </w:r>
    </w:p>
    <w:p>
      <w:pPr>
        <w:pStyle w:val="Heading1"/>
      </w:pPr>
      <w:r>
        <w:t>Elaborar una síntesis longitudinal</w:t>
      </w:r>
    </w:p>
    <w:p>
      <w:r>
        <w:t>La síntesis debe condensar la trayectoria y mostrar qué datos sostienen cada hipótesis. En Marcela podría formularse: adulta con episodio depresivo actual y deterioro laboral, antecedente probable de elevación patológica del ánimo con menor necesidad de sueño y consecuencias, exposiciones posteriores a corticoides temporalmente asociadas a activación y ensayos antidepresivos insuficientemente documentados. Se requiere corroborar episodios, revisar fichas y precisar temporalidad farmacológica antes de concluir. Una práctica útil es añadir una breve matriz de fuentes: qué proviene de Marcela, qué observó la hermana, qué está documentado y qué sigue sin comprobarse.</w:t>
      </w:r>
    </w:p>
    <w:p>
      <w:r>
        <w:t>Esta redacción es más útil que acumular diagnósticos. Separa hechos, fuentes e inferencias, indica lo que falta y evita una nueva escalada antidepresiva automática. Una buena anamnesis no elimina la incertidumbre: la vuelve visible y clínicamente manejable.</w:t>
      </w:r>
    </w:p>
    <w:p>
      <w:pPr>
        <w:pStyle w:val="Heading1"/>
      </w:pPr>
      <w:r>
        <w:t>Errores frecuentes</w:t>
      </w:r>
    </w:p>
    <w:p>
      <w:pPr>
        <w:pStyle w:val="ListBullet"/>
      </w:pPr>
      <w:r>
        <w:t>Describir síntomas actuales sin establecer su secuencia ni compararlos con el basal.</w:t>
      </w:r>
    </w:p>
    <w:p>
      <w:pPr>
        <w:pStyle w:val="ListBullet"/>
      </w:pPr>
      <w:r>
        <w:t>Copiar diagnósticos previos como si fueran hechos comprobados.</w:t>
      </w:r>
    </w:p>
    <w:p>
      <w:pPr>
        <w:pStyle w:val="ListBullet"/>
      </w:pPr>
      <w:r>
        <w:t>Omitir hipomanía porque la consulta actual es por depresión.</w:t>
      </w:r>
    </w:p>
    <w:p>
      <w:pPr>
        <w:pStyle w:val="ListBullet"/>
      </w:pPr>
      <w:r>
        <w:t>Llamar resistencia a tratamientos de dosis, duración o adherencia desconocidas.</w:t>
      </w:r>
    </w:p>
    <w:p>
      <w:pPr>
        <w:pStyle w:val="ListBullet"/>
      </w:pPr>
      <w:r>
        <w:t>Registrar sustancias o medicamentos fuera de la cronología clínica.</w:t>
      </w:r>
    </w:p>
    <w:p>
      <w:pPr>
        <w:pStyle w:val="ListBullet"/>
      </w:pPr>
      <w:r>
        <w:t>Recoger detalles biográficos extensos sin relevancia y omitir el funcionamiento.</w:t>
      </w:r>
    </w:p>
    <w:p>
      <w:pPr>
        <w:pStyle w:val="ListBullet"/>
      </w:pPr>
      <w:r>
        <w:t>Resolver contradicciones eligiendo una fuente sin considerar contexto, memoria y posibles sesgos.</w:t>
      </w:r>
    </w:p>
    <w:p>
      <w:pPr>
        <w:pStyle w:val="Heading1"/>
      </w:pPr>
      <w:r>
        <w:t>Para recordar</w:t>
      </w:r>
    </w:p>
    <w:p>
      <w:pPr>
        <w:spacing w:after="60" w:line="288" w:lineRule="auto"/>
        <w:ind w:left="432" w:hanging="216"/>
        <w:shd w:fill="EAF6F3"/>
        <w:keepNext/>
        <w:keepLines/>
        <w:pBdr>
          <w:left w:val="single" w:sz="8" w:space="8" w:color="2A8C82"/>
        </w:pBdr>
      </w:pPr>
      <w:r>
        <w:t>1. El diagnóstico longitudinal suele discriminar mejor que la intensidad del episodio actual.</w:t>
      </w:r>
    </w:p>
    <w:p>
      <w:pPr>
        <w:spacing w:after="60" w:line="288" w:lineRule="auto"/>
        <w:ind w:left="432" w:hanging="216"/>
        <w:shd w:fill="EAF6F3"/>
        <w:keepNext/>
        <w:keepLines/>
        <w:pBdr>
          <w:left w:val="single" w:sz="8" w:space="8" w:color="2A8C82"/>
        </w:pBdr>
      </w:pPr>
      <w:r>
        <w:t>2. Todo cambio debe compararse con el funcionamiento habitual de la persona.</w:t>
      </w:r>
    </w:p>
    <w:p>
      <w:pPr>
        <w:spacing w:after="60" w:line="288" w:lineRule="auto"/>
        <w:ind w:left="432" w:hanging="216"/>
        <w:shd w:fill="EAF6F3"/>
        <w:keepNext/>
        <w:keepLines/>
        <w:pBdr>
          <w:left w:val="single" w:sz="8" w:space="8" w:color="2A8C82"/>
        </w:pBdr>
      </w:pPr>
      <w:r>
        <w:t>3. Un tratamiento previo sólo informa si se conocen indicación, dosis, duración y adherencia.</w:t>
      </w:r>
    </w:p>
    <w:p>
      <w:pPr>
        <w:spacing w:after="60" w:line="288" w:lineRule="auto"/>
        <w:ind w:left="432" w:hanging="216"/>
        <w:shd w:fill="EAF6F3"/>
        <w:keepNext/>
        <w:keepLines/>
        <w:pBdr>
          <w:left w:val="single" w:sz="8" w:space="8" w:color="2A8C82"/>
        </w:pBdr>
      </w:pPr>
      <w:r>
        <w:t>4. Fármacos y sustancias pertenecen a la misma línea de tiempo que los síntomas.</w:t>
      </w:r>
    </w:p>
    <w:p>
      <w:pPr>
        <w:spacing w:after="60" w:line="288" w:lineRule="auto"/>
        <w:ind w:left="432" w:hanging="216"/>
        <w:shd w:fill="EAF6F3"/>
        <w:keepLines/>
        <w:pBdr>
          <w:left w:val="single" w:sz="8" w:space="8" w:color="2A8C82"/>
        </w:pBdr>
      </w:pPr>
      <w:r>
        <w:t>5. La síntesis debe distinguir datos, fuentes, hipótesis e incertidumbres pendientes.</w:t>
      </w:r>
    </w:p>
    <w:p>
      <w:pPr>
        <w:pStyle w:val="Heading1"/>
      </w:pPr>
      <w:r>
        <w:t>Bibliografía esencial</w:t>
      </w:r>
    </w:p>
    <w:p>
      <w:pPr>
        <w:pStyle w:val="Bibliography"/>
      </w:pPr>
      <w:r>
        <w:t xml:space="preserve">• Mackinnon RA, Michels R, Buckley PJ. </w:t>
      </w:r>
      <w:r>
        <w:rPr>
          <w:i/>
        </w:rPr>
        <w:t>The Psychiatric Interview in Clinical Practice</w:t>
      </w:r>
      <w:r>
        <w:t>. 3rd ed. American Psychiatric Publishing; 2015.</w:t>
      </w:r>
    </w:p>
    <w:p>
      <w:pPr>
        <w:pStyle w:val="Bibliography"/>
      </w:pPr>
      <w:r>
        <w:t xml:space="preserve">• Shea SC. </w:t>
      </w:r>
      <w:r>
        <w:rPr>
          <w:i/>
        </w:rPr>
        <w:t>Psychiatric Interviewing: The Art of Understanding</w:t>
      </w:r>
      <w:r>
        <w:t>. 3rd ed. Elsevier; 2016.</w:t>
      </w:r>
    </w:p>
    <w:p>
      <w:pPr>
        <w:pStyle w:val="Bibliography"/>
      </w:pPr>
      <w:r>
        <w:t xml:space="preserve">• American Psychiatric Association. </w:t>
      </w:r>
      <w:r>
        <w:rPr>
          <w:i/>
        </w:rPr>
        <w:t>Diagnostic and Statistical Manual of Mental Disorders: DSM-5-TR</w:t>
      </w:r>
      <w:r>
        <w:t>. American Psychiatric Association Publishing; 2022.</w:t>
      </w:r>
    </w:p>
    <w:p>
      <w:pPr>
        <w:pStyle w:val="Bibliography"/>
      </w:pPr>
      <w:r>
        <w:t xml:space="preserve">• World Health Organization. </w:t>
      </w:r>
      <w:r>
        <w:rPr>
          <w:i/>
        </w:rPr>
        <w:t>Clinical Descriptions and Diagnostic Requirements for ICD-11 Mental, Behavioural and Neurodevelopmental Disorders</w:t>
      </w:r>
      <w:r>
        <w:t xml:space="preserve">. World Health Organization; 2024. </w:t>
      </w:r>
      <w:hyperlink r:id="rId14">
        <w:r>
          <w:rPr>
            <w:color w:val="246B8E"/>
            <w:u w:val="single"/>
          </w:rPr>
          <w:t>Publicación oficial</w:t>
        </w:r>
      </w:hyperlink>
      <w:r>
        <w:t>.</w:t>
      </w:r>
    </w:p>
    <w:p>
      <w:pPr>
        <w:pStyle w:val="Bibliography"/>
      </w:pPr>
      <w:r>
        <w:t xml:space="preserve">• Boland RJ, Verduin ML, Ruiz P, eds. </w:t>
      </w:r>
      <w:r>
        <w:rPr>
          <w:i/>
        </w:rPr>
        <w:t>Kaplan &amp; Sadock’s Synopsis of Psychiatry</w:t>
      </w:r>
      <w:r>
        <w:t>. 12th ed. Wolters Kluwer; 2021.</w:t>
      </w:r>
    </w:p>
    <w:p>
      <w:r>
        <w:br w:type="page"/>
      </w:r>
    </w:p>
    <w:p>
      <w:pPr>
        <w:spacing w:after="480"/>
      </w:pPr>
      <w:r>
        <w:rPr>
          <w:rFonts w:ascii="Calibri" w:hAnsi="Calibri"/>
          <w:b/>
          <w:color w:val="2A8C82"/>
          <w:sz w:val="20"/>
        </w:rPr>
        <w:t>CAPÍTULO 03 · MATERIAL PARA ESTUDIANTES</w:t>
      </w:r>
    </w:p>
    <w:tbl>
      <w:tblPr>
        <w:tblW w:type="auto" w:w="0"/>
        <w:jc w:val="left"/>
        <w:tblLayout w:type="fixed"/>
        <w:tblLook w:firstColumn="1" w:firstRow="1" w:lastColumn="0" w:lastRow="0" w:noHBand="0" w:noVBand="1" w:val="04A0"/>
      </w:tblPr>
      <w:tblGrid>
        <w:gridCol w:w="9648"/>
      </w:tblGrid>
      <w:tr>
        <w:trPr>
          <w:tblHeader w:val="true"/>
        </w:trPr>
        <w:tc>
          <w:tcPr>
            <w:tcW w:type="dxa" w:w="9072"/>
            <w:shd w:fill="173A5E"/>
            <w:tcMar>
              <w:top w:w="120" w:type="dxa"/>
              <w:start w:w="220" w:type="dxa"/>
              <w:bottom w:w="120" w:type="dxa"/>
              <w:end w:w="220" w:type="dxa"/>
            </w:tcMar>
          </w:tcPr>
          <w:p>
            <w:pPr>
              <w:spacing w:after="0"/>
            </w:pPr>
            <w:r>
              <w:rPr>
                <w:rFonts w:ascii="Calibri" w:hAnsi="Calibri"/>
                <w:b/>
                <w:color w:val="FFFFFF"/>
                <w:sz w:val="19"/>
              </w:rPr>
              <w:t>MÓDULO I · ENTREVISTA, EXAMEN MENTAL Y RAZONAMIENTO CLÍNICO</w:t>
            </w:r>
          </w:p>
        </w:tc>
      </w:tr>
    </w:tbl>
    <w:p>
      <w:pPr>
        <w:pStyle w:val="Title"/>
        <w:spacing w:before="520" w:after="360"/>
        <w:outlineLvl w:val="0"/>
      </w:pPr>
      <w:bookmarkStart w:id="1003" w:name="chapter_03"/>
      <w:r>
        <w:t>Heteroanamnesis y entrevistas difíciles</w:t>
      </w:r>
      <w:bookmarkEnd w:id="1003"/>
    </w:p>
    <w:p>
      <w:pPr>
        <w:spacing w:after="80"/>
      </w:pPr>
      <w:r>
        <w:rPr>
          <w:rFonts w:ascii="Calibri" w:hAnsi="Calibri"/>
          <w:b/>
          <w:color w:val="246B8E"/>
          <w:sz w:val="26"/>
        </w:rPr>
        <w:t>Programa de Psiquiatría para internos de Medicina</w:t>
      </w:r>
    </w:p>
    <w:p>
      <w:r>
        <w:rPr>
          <w:rFonts w:ascii="Calibri" w:hAnsi="Calibri"/>
          <w:color w:val="6B7280"/>
          <w:sz w:val="22"/>
        </w:rPr>
        <w:t>Lectura complementaria · Chile · Versión final para revisión humana · 2026</w:t>
      </w:r>
    </w:p>
    <w:p/>
    <w:p/>
    <w:p/>
    <w:p/>
    <w:p/>
    <w:tbl>
      <w:tblPr>
        <w:tblW w:type="auto" w:w="0"/>
        <w:jc w:val="left"/>
        <w:tblLayout w:type="fixed"/>
        <w:tblLook w:firstColumn="1" w:firstRow="1" w:lastColumn="0" w:lastRow="0" w:noHBand="0" w:noVBand="1" w:val="04A0"/>
      </w:tblPr>
      <w:tblGrid>
        <w:gridCol w:w="9648"/>
      </w:tblGrid>
      <w:tr>
        <w:trPr>
          <w:tblHeader w:val="true"/>
        </w:trPr>
        <w:tc>
          <w:tcPr>
            <w:tcW w:type="dxa" w:w="9648"/>
            <w:shd w:fill="F3F5F6"/>
            <w:tcBorders>
              <w:start w:val="single" w:sz="18" w:color="2A8C82"/>
            </w:tcBorders>
            <w:tcMar>
              <w:top w:w="160" w:type="dxa"/>
              <w:start w:w="220" w:type="dxa"/>
              <w:bottom w:w="160" w:type="dxa"/>
              <w:end w:w="220" w:type="dxa"/>
            </w:tcMar>
          </w:tcPr>
          <w:p>
            <w:pPr>
              <w:spacing w:after="0"/>
            </w:pPr>
            <w:r>
              <w:rPr>
                <w:rFonts w:ascii="Calibri" w:hAnsi="Calibri"/>
                <w:i/>
                <w:color w:val="6B7280"/>
                <w:sz w:val="18"/>
              </w:rPr>
              <w:t>Versión docente final para revisión humana. Material propuesto y contextualizado a Chile; no corresponde a un programa oficial de la Pontificia Universidad Católica de Chile ni sustituye protocolos locales, supervisión clínica o evaluación especializada. Fuentes revisadas al 15 de agosto de 2026.</w:t>
            </w:r>
          </w:p>
        </w:tc>
      </w:tr>
    </w:tbl>
    <w:p>
      <w:r>
        <w:br w:type="page"/>
      </w:r>
    </w:p>
    <w:tbl>
      <w:tblPr>
        <w:tblW w:type="auto" w:w="0"/>
        <w:jc w:val="center"/>
        <w:tblLayout w:type="autofit"/>
        <w:tblLook w:firstColumn="1" w:firstRow="1" w:lastColumn="0" w:lastRow="0" w:noHBand="0" w:noVBand="1" w:val="04A0"/>
      </w:tblPr>
      <w:tblGrid>
        <w:gridCol w:w="9648"/>
      </w:tblGrid>
      <w:tr>
        <w:trPr>
          <w:tblHeader w:val="true"/>
        </w:trPr>
        <w:tc>
          <w:tcPr>
            <w:tcW w:type="dxa" w:w="9648"/>
            <w:vAlign w:val="center"/>
            <w:shd w:fill="EAF3F7"/>
            <w:tcBorders>
              <w:start w:val="single" w:sz="14" w:color="2A8C82"/>
            </w:tcBorders>
            <w:tcMar>
              <w:top w:w="130" w:type="dxa"/>
              <w:start w:w="190" w:type="dxa"/>
              <w:bottom w:w="130" w:type="dxa"/>
              <w:end w:w="190" w:type="dxa"/>
            </w:tcMar>
          </w:tcPr>
          <w:p>
            <w:pPr>
              <w:spacing w:after="0"/>
            </w:pPr>
            <w:r>
              <w:rPr>
                <w:b/>
                <w:color w:val="173A5E"/>
              </w:rPr>
              <w:t xml:space="preserve">PREGUNTA CLÍNICA  </w:t>
            </w:r>
            <w:r>
              <w:t>¿Cómo obtener e integrar información útil cuando el relato es incompleto, contradictorio o difícil de construir, sin atropellar la autonomía ni poner en riesgo a quienes participan?</w:t>
            </w:r>
          </w:p>
        </w:tc>
      </w:tr>
    </w:tbl>
    <w:p>
      <w:pPr>
        <w:spacing w:after="0"/>
      </w:pPr>
    </w:p>
    <w:tbl>
      <w:tblPr>
        <w:tblW w:type="auto" w:w="0"/>
        <w:jc w:val="center"/>
        <w:tblLayout w:type="autofit"/>
        <w:tblLook w:firstColumn="1" w:firstRow="1" w:lastColumn="0" w:lastRow="0" w:noHBand="0" w:noVBand="1" w:val="04A0"/>
      </w:tblPr>
      <w:tblGrid>
        <w:gridCol w:w="9648"/>
      </w:tblGrid>
      <w:tr>
        <w:trPr>
          <w:tblHeader w:val="true"/>
        </w:trPr>
        <w:tc>
          <w:tcPr>
            <w:tcW w:type="dxa" w:w="9648"/>
            <w:vAlign w:val="center"/>
            <w:shd w:fill="EAF6F3"/>
            <w:tcBorders>
              <w:start w:val="single" w:sz="14" w:color="2A8C82"/>
            </w:tcBorders>
            <w:tcMar>
              <w:top w:w="130" w:type="dxa"/>
              <w:start w:w="190" w:type="dxa"/>
              <w:bottom w:w="130" w:type="dxa"/>
              <w:end w:w="190" w:type="dxa"/>
            </w:tcMar>
          </w:tcPr>
          <w:p>
            <w:pPr>
              <w:spacing w:after="0"/>
            </w:pPr>
            <w:r>
              <w:rPr>
                <w:b/>
                <w:color w:val="173A5E"/>
              </w:rPr>
              <w:t xml:space="preserve">IDEA CENTRAL  </w:t>
            </w:r>
            <w:r>
              <w:t>la dificultad de una entrevista es información clínica y relacional. Obliga a adaptar el método, contrastar fuentes y proteger la seguridad; no autoriza a descalificar a la persona ni a reemplazar automáticamente su voz.</w:t>
            </w:r>
          </w:p>
        </w:tc>
      </w:tr>
    </w:tbl>
    <w:p>
      <w:pPr>
        <w:spacing w:after="0"/>
      </w:pPr>
    </w:p>
    <w:p>
      <w:pPr>
        <w:pStyle w:val="Heading1"/>
      </w:pPr>
      <w:r>
        <w:t>Por qué importa</w:t>
      </w:r>
    </w:p>
    <w:p>
      <w:r>
        <w:t>La información colateral puede cambiar decisiones críticas. En psicosis, manía, delirium, deterioro cognitivo, intoxicación o riesgo, la persona puede desconocer cambios o recordarlos parcialmente. Familiares, registros y otros profesionales aportan observaciones, pero también pueden equivocarse, tener intereses o ejercer control. “La familia dice” nunca debe convertirse en una verdad sin fuente ni contexto.</w:t>
      </w:r>
    </w:p>
    <w:p>
      <w:r>
        <w:t>Algunas entrevistas se dificultan por miedo, hostilidad, silencio, verborrea o barreras comunicacionales. La respuesta combina respeto, claridad y límites. Si la seguridad se deteriora, insistir en completar la pauta es mala práctica.</w:t>
      </w:r>
    </w:p>
    <w:p>
      <w:pPr>
        <w:pStyle w:val="Heading1"/>
      </w:pPr>
      <w:r>
        <w:t>Objetivos de aprendizaje</w:t>
      </w:r>
    </w:p>
    <w:p>
      <w:pPr>
        <w:pStyle w:val="ListBullet"/>
      </w:pPr>
      <w:r>
        <w:t>Reconocer cuándo la heteroanamnesis es necesaria y qué preguntas debe responder.</w:t>
      </w:r>
    </w:p>
    <w:p>
      <w:pPr>
        <w:pStyle w:val="ListBullet"/>
      </w:pPr>
      <w:r>
        <w:t>Diferenciar recibir información de terceros de revelar información clínica protegida.</w:t>
      </w:r>
    </w:p>
    <w:p>
      <w:pPr>
        <w:pStyle w:val="ListBullet"/>
      </w:pPr>
      <w:r>
        <w:t>Valorar la calidad de cada fuente de manera dimensional y documentarla con precisión.</w:t>
      </w:r>
    </w:p>
    <w:p>
      <w:pPr>
        <w:pStyle w:val="ListBullet"/>
      </w:pPr>
      <w:r>
        <w:t>Manejar inicialmente silencio, desconfianza, hostilidad, llanto, verborrea y contradicciones.</w:t>
      </w:r>
    </w:p>
    <w:p>
      <w:pPr>
        <w:pStyle w:val="ListBullet"/>
      </w:pPr>
      <w:r>
        <w:t>Formular preguntas sensibles con lenguaje directo, respetuoso y no estigmatizante.</w:t>
      </w:r>
    </w:p>
    <w:p>
      <w:pPr>
        <w:pStyle w:val="ListBullet"/>
      </w:pPr>
      <w:r>
        <w:t>Adaptar la entrevista ante barreras culturales, idiomáticas, sensoriales, cognitivas o tecnológicas.</w:t>
      </w:r>
    </w:p>
    <w:p>
      <w:pPr>
        <w:pStyle w:val="ListBullet"/>
      </w:pPr>
      <w:r>
        <w:t>Identificar cuándo interrumpir la entrevista y solicitar apoyo por razones de seguridad.</w:t>
      </w:r>
    </w:p>
    <w:p>
      <w:pPr>
        <w:pStyle w:val="Heading1"/>
      </w:pPr>
      <w:r>
        <w:t>Caso clínico</w:t>
      </w:r>
    </w:p>
    <w:p>
      <w:pPr>
        <w:shd w:fill="EAF3F7"/>
        <w:keepLines/>
        <w:pBdr>
          <w:left w:val="single" w:sz="8" w:space="8" w:color="246B8E"/>
        </w:pBdr>
        <w:ind w:left="173" w:right="86"/>
      </w:pPr>
      <w:r>
        <w:t>Felipe, de 22 años, es llevado por una tía debido a aislamiento, insomnio y sospechas de persecución. Él afirma que “no pasa nada”, exige que ella salga y pregunta si el equipo trabaja para su universidad. En un pasillo, la tía relata que dejó de asistir a clases, tapó las cámaras de su computador y amenazó con enfrentar a un compañero. El interno evita discutir quién tiene razón. Se presenta, explica el propósito de la evaluación y acuerda conversar primero a solas con Felipe. Le aclara que puede escuchar las preocupaciones de su tía sin contarle lo que él diga, salvo que sea necesario actuar por seguridad o por una obligación asistencial o legal. Felipe responde con silencios, pero gradualmente acepta hablar del miedo a ser vigilado. El dato de una amenaza reciente obliga a caracterizar intención, acceso y conducta, no a etiquetarlo como “peligroso”.</w:t>
      </w:r>
    </w:p>
    <w:p>
      <w:pPr>
        <w:pStyle w:val="Heading1"/>
      </w:pPr>
      <w:r>
        <w:t>Cuándo y para qué buscar información colateral</w:t>
      </w:r>
    </w:p>
    <w:p>
      <w:r>
        <w:t>La heteroanamnesis es útil ante cambios conductuales, psicosis, deterioro cognitivo, fluctuación de conciencia, intoxicación, riesgo y dudas sobre adherencia. También ayuda a reconstruir episodios previos, amnesia y tratamientos.</w:t>
      </w:r>
    </w:p>
    <w:p>
      <w:r>
        <w:t>Antes de contactar a alguien conviene definir la pregunta: ¿se busca establecer la fecha de inicio, comprobar un cambio respecto del basal, conocer acceso a medios, aclarar medicamentos o estimar apoyo disponible? Una conversación sin propósito puede acumular opiniones y conflictos familiares sin mejorar la decisión.</w:t>
      </w:r>
    </w:p>
    <w:p>
      <w:r>
        <w:t>Siempre que sea posible, se solicita autorización y se acuerda a quién contactar, por qué medio y qué información puede compartirse. Negarse a incluir a un familiar no demuestra incapacidad ni falta de conciencia de enfermedad. Deben explorarse razones plausibles, como conflicto, vergüenza, temor a violencia, discriminación o pérdida de autonomía. Antes de llamar, además, se considera si el contacto podría exponer a la persona a represalias, revelar una atención que deseaba mantener reservada o alertar a un posible agresor.</w:t>
      </w:r>
    </w:p>
    <w:p>
      <w:r>
        <w:t>En situaciones de urgencia puede ser necesario buscar datos esenciales sin autorización para proteger la vida o brindar atención, dentro de las normas vigentes y con supervisión. La acción debe ser proporcional, limitada a lo necesario y documentada. En Chile, la Ley 20.584, la Ley 21.331 y las políticas institucionales orientan el manejo de la ficha, la confidencialidad y los derechos en salud mental; los casos dudosos deben discutirse con el supervisor y, cuando corresponda, con equipos jurídicos o de ética clínica.</w:t>
      </w:r>
    </w:p>
    <w:p>
      <w:pPr>
        <w:pStyle w:val="Heading1"/>
      </w:pPr>
      <w:r>
        <w:t>Recibir información no es lo mismo que revelarla</w:t>
      </w:r>
    </w:p>
    <w:p>
      <w:r>
        <w:t>El flujo de información es asimétrico. Un familiar puede entregar antecedentes al equipo aunque el paciente no haya autorizado que se le revele el diagnóstico o el plan. Escuchar no obliga a confirmar que una persona se atiende allí ni permite compartir datos protegidos. Una respuesta prudente puede ser: “Puedo recibir lo que usted considera importante; no puedo comentar información clínica sin autorización”.</w:t>
      </w:r>
    </w:p>
    <w:p>
      <w:r>
        <w:t>Si la persona autoriza incluir a un apoyo, compartir un plan acotado puede favorecer continuidad y seguridad. Se evita revelar detalles íntimos irrelevantes. Ante riesgo grave u otras excepciones legales, se transmite sólo lo necesario a quien pueda intervenir; “contarle todo a la familia” no es una medida de seguridad.</w:t>
      </w:r>
    </w:p>
    <w:p>
      <w:r>
        <w:t>Cuando un tercero pide hablar “en secreto”, no debe garantizarse que el dato nunca será abordado. Puede explicarse que la fuente será protegida en lo posible, pero que la información relevante puede requerir verificación o acción. Prometer confidencialidad absoluta al informante puede generar una alianza clandestina y dejar al equipo atrapado entre versiones.</w:t>
      </w:r>
    </w:p>
    <w:p>
      <w:pPr>
        <w:pStyle w:val="Heading1"/>
      </w:pPr>
      <w:r>
        <w:t>Evaluar fuentes y discrepancias</w:t>
      </w:r>
    </w:p>
    <w:p>
      <w:r>
        <w:t>La confiabilidad no es una cualidad global de una persona. Una fuente puede describir con precisión horarios y conductas observables, pero inferir erróneamente motivos o diagnósticos. Para cada dato importa quién lo aporta, cuándo observó el hecho, con qué frecuencia, qué relación mantiene con el paciente y qué factores podrían sesgar su relato.</w:t>
      </w:r>
    </w:p>
    <w:p>
      <w:r>
        <w:t>Debe diferenciarse observación de interpretación. “Durmió dos horas y reorganizó la casa durante la noche” es un dato distinto de “está maníaca”. “Dijo que enfrentaría a su compañero y tomó un cuchillo” es distinto de “es agresivo”. Se registran citas breves sólo cuando agregan precisión y se identifica la fuente.</w:t>
      </w:r>
    </w:p>
    <w:p>
      <w:r>
        <w:t>Las contradicciones pueden surgir por síntomas fluctuantes, contextos diferentes, alteración de memoria, vergüenza, conflicto, coerción o simples errores. En vez de decidir de inmediato quién miente, se construye una cronología y se buscan puntos verificables. Puede decirse: “Necesito entender dos versiones distintas de lo ocurrido”. Confrontar de forma acusatoria reduce la información y puede aumentar el riesgo.</w:t>
      </w:r>
    </w:p>
    <w:p>
      <w:r>
        <w:t>Fichas, recetas y datos de otros equipos también pueden contener copias, diagnósticos provisionales o errores. Debe señalarse qué está documentado, referido o incierto.</w:t>
      </w:r>
    </w:p>
    <w:p>
      <w:pPr>
        <w:pStyle w:val="Heading1"/>
      </w:pPr>
      <w:r>
        <w:t>Adaptar la entrevista a obstáculos frecuentes</w:t>
      </w:r>
    </w:p>
    <w:p>
      <w:r>
        <w:rPr>
          <w:b/>
        </w:rPr>
        <w:t>Silencio.</w:t>
      </w:r>
      <w:r>
        <w:t xml:space="preserve"> Se tolera un intervalo razonable, se observa si hay emoción, suspicacia, bloqueo, distracción o dificultad de comprensión y se disminuye la complejidad de la pregunta. Ofrecer alternativas concretas puede ayudar, pero una sucesión de preguntas cerradas produce asentimiento sin comprensión. También es válido reconocer: “Parece difícil hablar de esto; podemos ir más despacio”.</w:t>
      </w:r>
    </w:p>
    <w:p>
      <w:r>
        <w:rPr>
          <w:b/>
        </w:rPr>
        <w:t>Desconfianza o ideas persecutorias.</w:t>
      </w:r>
      <w:r>
        <w:t xml:space="preserve"> Se explica el rol, el propósito, quién tendrá acceso a la información y qué decisiones puede tomar el equipo. No se intenta vencer el delirio mediante debate. Se exploran experiencia, emoción, interferencia y conducta. La honestidad —incluido reconocer lo que no se sabe— suele ser más útil que una tranquilidad vacía.</w:t>
      </w:r>
    </w:p>
    <w:p>
      <w:r>
        <w:rPr>
          <w:b/>
        </w:rPr>
        <w:t>Hostilidad o agitación.</w:t>
      </w:r>
      <w:r>
        <w:t xml:space="preserve"> El entrevistador mantiene voz calmada, distancia suficiente, salida accesible y límites simples. Evita rodear, tocar sin aviso o exhibir superioridad. Se consideran miedo, dolor, intoxicación, manía, psicosis, delirium y experiencias de coerción. Si hay amenaza creciente, armas, incapacidad de mantener distancia o deterioro médico, se termina el encuentro, se solicita apoyo y se aplica el protocolo local. La entrevista extensa puede retomarse después.</w:t>
      </w:r>
    </w:p>
    <w:p>
      <w:r>
        <w:rPr>
          <w:b/>
        </w:rPr>
        <w:t>Verborrea, presión del habla o tangencialidad.</w:t>
      </w:r>
      <w:r>
        <w:t xml:space="preserve"> Es legítimo interrumpir con respeto: resumir lo entendido, explicar la limitación temporal y formular una pregunta concreta. Interrupciones humillantes pueden escalar irritabilidad; no interrumpir nunca puede impedir evaluar riesgos.</w:t>
      </w:r>
    </w:p>
    <w:p>
      <w:r>
        <w:rPr>
          <w:b/>
        </w:rPr>
        <w:t>Llanto o angustia intensa.</w:t>
      </w:r>
      <w:r>
        <w:t xml:space="preserve"> Se ofrece tiempo, se reconoce el malestar y se pregunta si la persona puede continuar. El llanto no obliga a terminar ni autoriza a seguir como si nada ocurriera. Si la activación impide comprender o responder, se prioriza estabilización y apoyo.</w:t>
      </w:r>
    </w:p>
    <w:p>
      <w:pPr>
        <w:pStyle w:val="Heading1"/>
      </w:pPr>
      <w:r>
        <w:t>Preguntar por temas sensibles</w:t>
      </w:r>
    </w:p>
    <w:p>
      <w:r>
        <w:t>Las preguntas sensibles se introducen explicando su relevancia y se formulan sin eufemismos. En suicidalidad se pregunta directamente por deseo de morir, ideas, intención, plan, preparativos y acceso. En sustancias se usan cantidades, frecuencia y contexto, no etiquetas como “adicto”. En sexualidad se evita asumir género de la pareja, prácticas, orientación o deseo. En violencia se entrevista en privado, sin la presencia de una posible persona agresora.</w:t>
      </w:r>
    </w:p>
    <w:p>
      <w:r>
        <w:t>Respecto del trauma, primero se explora exposición y efecto actual. Solicitar detalles gráficos sin una necesidad clínica puede ser intrusivo y desorganizante. Si la persona no desea profundizar, se registra el límite y se explica qué información mínima es necesaria para seguridad o atención. Un enfoque informado por trauma ofrece elecciones reales, anticipa procedimientos y minimiza coerciones evitables.</w:t>
      </w:r>
    </w:p>
    <w:p>
      <w:pPr>
        <w:pStyle w:val="Heading1"/>
      </w:pPr>
      <w:r>
        <w:t>Cultura, comunicación y telemedicina</w:t>
      </w:r>
    </w:p>
    <w:p>
      <w:r>
        <w:t>Las creencias deben interpretarse en su contexto. Se pregunta cómo comprende la persona lo que ocurre, si otros miembros de su comunidad comparten esa explicación y qué prácticas de ayuda considera aceptables. “Cultural” no significa automáticamente sano ni patológico; el análisis incluye consenso, flexibilidad, sufrimiento, deterioro y conducta asociada.</w:t>
      </w:r>
    </w:p>
    <w:p>
      <w:r>
        <w:t>Cuando existe barrera de idioma, se utiliza intérprete profesional siempre que sea posible, se habla a la persona —no al intérprete— y se verifica comprensión. No se emplean niños ni posibles agresores como intérpretes. Las dificultades auditivas, visuales, cognitivas o del neurodesarrollo requieren ajustes de ritmo, apoyos y lenguaje sin infantilizar.</w:t>
      </w:r>
    </w:p>
    <w:p>
      <w:r>
        <w:t>En telemedicina se confirma ubicación, privacidad, presencia de terceros fuera de cámara y contacto ante desconexión. Si alguien responde por la persona o controla el entorno, puede ser imposible realizar una entrevista segura. La imposibilidad de valorar conciencia, psicomotricidad o riesgo justifica cambiar a evaluación presencial o activar una respuesta de urgencia.</w:t>
      </w:r>
    </w:p>
    <w:p>
      <w:pPr>
        <w:pStyle w:val="Heading1"/>
      </w:pPr>
      <w:r>
        <w:t>Integrar y documentar</w:t>
      </w:r>
    </w:p>
    <w:p>
      <w:r>
        <w:t>En Felipe se debe registrar por separado su relato, las observaciones del examinador y los antecedentes de la tía. La amenaza se describe en términos conductuales, con temporalidad, posible destinatario, intención, medios y factores modificadores. La síntesis puede señalar que la información colateral aumenta la preocupación por un primer episodio psicótico y deterioro funcional, pero aún requiere evaluación médica, de sustancias y de riesgo.</w:t>
      </w:r>
    </w:p>
    <w:p>
      <w:r>
        <w:t>Documentar con precisión protege a la persona y al equipo. Expresiones como “paciente poco confiable”, “familia disfuncional” o “manipulador” sustituyen análisis por juicio. Es preferible describir qué información no pudo obtenerse, qué discrepancias existen, por qué se actuó y quién supervisó la decisión.</w:t>
      </w:r>
    </w:p>
    <w:p>
      <w:pPr>
        <w:pStyle w:val="Heading1"/>
      </w:pPr>
      <w:r>
        <w:t>Errores frecuentes</w:t>
      </w:r>
    </w:p>
    <w:p>
      <w:pPr>
        <w:pStyle w:val="ListBullet"/>
      </w:pPr>
      <w:r>
        <w:t>Tratar la heteroanamnesis como una versión superior y reemplazar la voz del paciente.</w:t>
      </w:r>
    </w:p>
    <w:p>
      <w:pPr>
        <w:pStyle w:val="ListBullet"/>
      </w:pPr>
      <w:r>
        <w:t>Revelar información clínica sólo porque un familiar entregó antecedentes.</w:t>
      </w:r>
    </w:p>
    <w:p>
      <w:pPr>
        <w:pStyle w:val="ListBullet"/>
      </w:pPr>
      <w:r>
        <w:t>Prometer secreto absoluto a la persona informante.</w:t>
      </w:r>
    </w:p>
    <w:p>
      <w:pPr>
        <w:pStyle w:val="ListBullet"/>
      </w:pPr>
      <w:r>
        <w:t>Confundir discrepancia, silencio o rechazo con engaño o incapacidad.</w:t>
      </w:r>
    </w:p>
    <w:p>
      <w:pPr>
        <w:pStyle w:val="ListBullet"/>
      </w:pPr>
      <w:r>
        <w:t>Discutir la veracidad de una creencia persecutoria antes de evaluar emoción y conducta.</w:t>
      </w:r>
    </w:p>
    <w:p>
      <w:pPr>
        <w:pStyle w:val="ListBullet"/>
      </w:pPr>
      <w:r>
        <w:t>Mantener una entrevista cuando las condiciones de seguridad se han perdido.</w:t>
      </w:r>
    </w:p>
    <w:p>
      <w:pPr>
        <w:pStyle w:val="ListBullet"/>
      </w:pPr>
      <w:r>
        <w:t>Documentar etiquetas peyorativas en lugar de hechos, fuentes y límites.</w:t>
      </w:r>
    </w:p>
    <w:p>
      <w:pPr>
        <w:pStyle w:val="Heading1"/>
      </w:pPr>
      <w:r>
        <w:t>Para recordar</w:t>
      </w:r>
    </w:p>
    <w:p>
      <w:pPr>
        <w:spacing w:after="60" w:line="288" w:lineRule="auto"/>
        <w:ind w:left="432" w:hanging="216"/>
        <w:shd w:fill="EAF6F3"/>
        <w:keepNext/>
        <w:keepLines/>
        <w:pBdr>
          <w:left w:val="single" w:sz="8" w:space="8" w:color="2A8C82"/>
        </w:pBdr>
      </w:pPr>
      <w:r>
        <w:t>1. La información colateral responde preguntas clínicas definidas; no es una biografía paralela.</w:t>
      </w:r>
    </w:p>
    <w:p>
      <w:pPr>
        <w:spacing w:after="60" w:line="288" w:lineRule="auto"/>
        <w:ind w:left="432" w:hanging="216"/>
        <w:shd w:fill="EAF6F3"/>
        <w:keepNext/>
        <w:keepLines/>
        <w:pBdr>
          <w:left w:val="single" w:sz="8" w:space="8" w:color="2A8C82"/>
        </w:pBdr>
      </w:pPr>
      <w:r>
        <w:t>2. Recibir antecedentes de un tercero no autoriza a revelar información protegida.</w:t>
      </w:r>
    </w:p>
    <w:p>
      <w:pPr>
        <w:spacing w:after="60" w:line="288" w:lineRule="auto"/>
        <w:ind w:left="432" w:hanging="216"/>
        <w:shd w:fill="EAF6F3"/>
        <w:keepNext/>
        <w:keepLines/>
        <w:pBdr>
          <w:left w:val="single" w:sz="8" w:space="8" w:color="2A8C82"/>
        </w:pBdr>
      </w:pPr>
      <w:r>
        <w:t>3. La calidad de una fuente depende del dato, el contexto y la oportunidad de observación.</w:t>
      </w:r>
    </w:p>
    <w:p>
      <w:pPr>
        <w:spacing w:after="60" w:line="288" w:lineRule="auto"/>
        <w:ind w:left="432" w:hanging="216"/>
        <w:shd w:fill="EAF6F3"/>
        <w:keepNext/>
        <w:keepLines/>
        <w:pBdr>
          <w:left w:val="single" w:sz="8" w:space="8" w:color="2A8C82"/>
        </w:pBdr>
      </w:pPr>
      <w:r>
        <w:t>4. Adaptar la entrevista no significa renunciar a explorar riesgos ni a establecer límites.</w:t>
      </w:r>
    </w:p>
    <w:p>
      <w:pPr>
        <w:spacing w:after="60" w:line="288" w:lineRule="auto"/>
        <w:ind w:left="432" w:hanging="216"/>
        <w:shd w:fill="EAF6F3"/>
        <w:keepLines/>
        <w:pBdr>
          <w:left w:val="single" w:sz="8" w:space="8" w:color="2A8C82"/>
        </w:pBdr>
      </w:pPr>
      <w:r>
        <w:t>5. Cuando la seguridad se deteriora, corresponde detenerse, pedir apoyo y documentar la decisión.</w:t>
      </w:r>
    </w:p>
    <w:p>
      <w:pPr>
        <w:pStyle w:val="Heading1"/>
      </w:pPr>
      <w:r>
        <w:t>Bibliografía esencial</w:t>
      </w:r>
    </w:p>
    <w:p>
      <w:pPr>
        <w:pStyle w:val="Bibliography"/>
      </w:pPr>
      <w:r>
        <w:t xml:space="preserve">• Shea SC. </w:t>
      </w:r>
      <w:r>
        <w:rPr>
          <w:i/>
        </w:rPr>
        <w:t>Psychiatric Interviewing: The Art of Understanding</w:t>
      </w:r>
      <w:r>
        <w:t>. 3rd ed. Elsevier; 2016.</w:t>
      </w:r>
    </w:p>
    <w:p>
      <w:pPr>
        <w:pStyle w:val="Bibliography"/>
      </w:pPr>
      <w:r>
        <w:t xml:space="preserve">• Mackinnon RA, Michels R, Buckley PJ. </w:t>
      </w:r>
      <w:r>
        <w:rPr>
          <w:i/>
        </w:rPr>
        <w:t>The Psychiatric Interview in Clinical Practice</w:t>
      </w:r>
      <w:r>
        <w:t>. 3rd ed. American Psychiatric Publishing; 2015.</w:t>
      </w:r>
    </w:p>
    <w:p>
      <w:pPr>
        <w:pStyle w:val="Bibliography"/>
      </w:pPr>
      <w:r>
        <w:t xml:space="preserve">• World Health Organization. </w:t>
      </w:r>
      <w:r>
        <w:rPr>
          <w:i/>
        </w:rPr>
        <w:t>Guidance on Community Mental Health Services: Promoting Person-Centred and Rights-Based Approaches</w:t>
      </w:r>
      <w:r>
        <w:t xml:space="preserve">. World Health Organization; 2021. </w:t>
      </w:r>
      <w:hyperlink r:id="rId15">
        <w:r>
          <w:rPr>
            <w:color w:val="246B8E"/>
            <w:u w:val="single"/>
          </w:rPr>
          <w:t>Publicación oficial</w:t>
        </w:r>
      </w:hyperlink>
      <w:r>
        <w:t>.</w:t>
      </w:r>
    </w:p>
    <w:p>
      <w:pPr>
        <w:pStyle w:val="Bibliography"/>
      </w:pPr>
      <w:r>
        <w:t xml:space="preserve">• Chile. </w:t>
      </w:r>
      <w:r>
        <w:rPr>
          <w:i/>
        </w:rPr>
        <w:t>Ley N.º 20.584: Regula los derechos y deberes que tienen las personas en relación con acciones vinculadas a su atención en salud</w:t>
      </w:r>
      <w:r>
        <w:t xml:space="preserve">. Diario Oficial; 24 de abril de 2012. </w:t>
      </w:r>
      <w:hyperlink r:id="rId11">
        <w:r>
          <w:rPr>
            <w:color w:val="246B8E"/>
            <w:u w:val="single"/>
          </w:rPr>
          <w:t>Texto actualizado, Biblioteca del Congreso Nacional</w:t>
        </w:r>
      </w:hyperlink>
      <w:r>
        <w:t>.</w:t>
      </w:r>
    </w:p>
    <w:p>
      <w:pPr>
        <w:pStyle w:val="Bibliography"/>
      </w:pPr>
      <w:r>
        <w:t xml:space="preserve">• Chile. </w:t>
      </w:r>
      <w:r>
        <w:rPr>
          <w:i/>
        </w:rPr>
        <w:t>Ley N.º 21.331: Del reconocimiento y protección de los derechos de las personas en la atención de salud mental</w:t>
      </w:r>
      <w:r>
        <w:t xml:space="preserve">. Diario Oficial; 11 de mayo de 2021. </w:t>
      </w:r>
      <w:hyperlink r:id="rId12">
        <w:r>
          <w:rPr>
            <w:color w:val="246B8E"/>
            <w:u w:val="single"/>
          </w:rPr>
          <w:t>Texto oficial, Biblioteca del Congreso Nacional</w:t>
        </w:r>
      </w:hyperlink>
      <w:r>
        <w:t>.</w:t>
      </w:r>
    </w:p>
    <w:p>
      <w:r>
        <w:br w:type="page"/>
      </w:r>
    </w:p>
    <w:p>
      <w:pPr>
        <w:spacing w:after="480"/>
      </w:pPr>
      <w:r>
        <w:rPr>
          <w:rFonts w:ascii="Calibri" w:hAnsi="Calibri"/>
          <w:b/>
          <w:color w:val="2A8C82"/>
          <w:sz w:val="20"/>
        </w:rPr>
        <w:t>CAPÍTULO 04 · MATERIAL PARA ESTUDIANTES</w:t>
      </w:r>
    </w:p>
    <w:tbl>
      <w:tblPr>
        <w:tblW w:type="auto" w:w="0"/>
        <w:jc w:val="left"/>
        <w:tblLayout w:type="fixed"/>
        <w:tblLook w:firstColumn="1" w:firstRow="1" w:lastColumn="0" w:lastRow="0" w:noHBand="0" w:noVBand="1" w:val="04A0"/>
      </w:tblPr>
      <w:tblGrid>
        <w:gridCol w:w="9648"/>
      </w:tblGrid>
      <w:tr>
        <w:trPr>
          <w:tblHeader w:val="true"/>
        </w:trPr>
        <w:tc>
          <w:tcPr>
            <w:tcW w:type="dxa" w:w="9072"/>
            <w:shd w:fill="173A5E"/>
            <w:tcMar>
              <w:top w:w="120" w:type="dxa"/>
              <w:start w:w="220" w:type="dxa"/>
              <w:bottom w:w="120" w:type="dxa"/>
              <w:end w:w="220" w:type="dxa"/>
            </w:tcMar>
          </w:tcPr>
          <w:p>
            <w:pPr>
              <w:spacing w:after="0"/>
            </w:pPr>
            <w:r>
              <w:rPr>
                <w:rFonts w:ascii="Calibri" w:hAnsi="Calibri"/>
                <w:b/>
                <w:color w:val="FFFFFF"/>
                <w:sz w:val="19"/>
              </w:rPr>
              <w:t>MÓDULO I · ENTREVISTA, EXAMEN MENTAL Y RAZONAMIENTO CLÍNICO</w:t>
            </w:r>
          </w:p>
        </w:tc>
      </w:tr>
    </w:tbl>
    <w:p>
      <w:pPr>
        <w:pStyle w:val="Title"/>
        <w:spacing w:before="520" w:after="360"/>
        <w:outlineLvl w:val="0"/>
      </w:pPr>
      <w:bookmarkStart w:id="1004" w:name="chapter_04"/>
      <w:r>
        <w:t>Examen mental I: apariencia, conducta, contacto y lenguaje</w:t>
      </w:r>
      <w:bookmarkEnd w:id="1004"/>
    </w:p>
    <w:p>
      <w:pPr>
        <w:spacing w:after="80"/>
      </w:pPr>
      <w:r>
        <w:rPr>
          <w:rFonts w:ascii="Calibri" w:hAnsi="Calibri"/>
          <w:b/>
          <w:color w:val="246B8E"/>
          <w:sz w:val="26"/>
        </w:rPr>
        <w:t>Programa de Psiquiatría para internos de Medicina</w:t>
      </w:r>
    </w:p>
    <w:p>
      <w:r>
        <w:rPr>
          <w:rFonts w:ascii="Calibri" w:hAnsi="Calibri"/>
          <w:color w:val="6B7280"/>
          <w:sz w:val="22"/>
        </w:rPr>
        <w:t>Lectura complementaria · Chile · Versión final para revisión humana · 2026</w:t>
      </w:r>
    </w:p>
    <w:p/>
    <w:p/>
    <w:p/>
    <w:p/>
    <w:p/>
    <w:tbl>
      <w:tblPr>
        <w:tblW w:type="auto" w:w="0"/>
        <w:jc w:val="left"/>
        <w:tblLayout w:type="fixed"/>
        <w:tblLook w:firstColumn="1" w:firstRow="1" w:lastColumn="0" w:lastRow="0" w:noHBand="0" w:noVBand="1" w:val="04A0"/>
      </w:tblPr>
      <w:tblGrid>
        <w:gridCol w:w="9648"/>
      </w:tblGrid>
      <w:tr>
        <w:trPr>
          <w:tblHeader w:val="true"/>
        </w:trPr>
        <w:tc>
          <w:tcPr>
            <w:tcW w:type="dxa" w:w="9648"/>
            <w:shd w:fill="F3F5F6"/>
            <w:tcBorders>
              <w:start w:val="single" w:sz="18" w:color="2A8C82"/>
            </w:tcBorders>
            <w:tcMar>
              <w:top w:w="160" w:type="dxa"/>
              <w:start w:w="220" w:type="dxa"/>
              <w:bottom w:w="160" w:type="dxa"/>
              <w:end w:w="220" w:type="dxa"/>
            </w:tcMar>
          </w:tcPr>
          <w:p>
            <w:pPr>
              <w:spacing w:after="0"/>
            </w:pPr>
            <w:r>
              <w:rPr>
                <w:rFonts w:ascii="Calibri" w:hAnsi="Calibri"/>
                <w:i/>
                <w:color w:val="6B7280"/>
                <w:sz w:val="18"/>
              </w:rPr>
              <w:t>Versión docente final para revisión humana. Material propuesto y contextualizado a Chile; no corresponde a un programa oficial de la Pontificia Universidad Católica de Chile ni sustituye protocolos locales, supervisión clínica o evaluación especializada. Fuentes revisadas al 15 de agosto de 2026.</w:t>
            </w:r>
          </w:p>
        </w:tc>
      </w:tr>
    </w:tbl>
    <w:p>
      <w:r>
        <w:br w:type="page"/>
      </w:r>
    </w:p>
    <w:tbl>
      <w:tblPr>
        <w:tblW w:type="auto" w:w="0"/>
        <w:jc w:val="center"/>
        <w:tblLayout w:type="autofit"/>
        <w:tblLook w:firstColumn="1" w:firstRow="1" w:lastColumn="0" w:lastRow="0" w:noHBand="0" w:noVBand="1" w:val="04A0"/>
      </w:tblPr>
      <w:tblGrid>
        <w:gridCol w:w="9648"/>
      </w:tblGrid>
      <w:tr>
        <w:trPr>
          <w:tblHeader w:val="true"/>
        </w:trPr>
        <w:tc>
          <w:tcPr>
            <w:tcW w:type="dxa" w:w="9648"/>
            <w:vAlign w:val="center"/>
            <w:shd w:fill="EAF3F7"/>
            <w:tcBorders>
              <w:start w:val="single" w:sz="14" w:color="2A8C82"/>
            </w:tcBorders>
            <w:tcMar>
              <w:top w:w="130" w:type="dxa"/>
              <w:start w:w="190" w:type="dxa"/>
              <w:bottom w:w="130" w:type="dxa"/>
              <w:end w:w="190" w:type="dxa"/>
            </w:tcMar>
          </w:tcPr>
          <w:p>
            <w:pPr>
              <w:spacing w:after="0"/>
            </w:pPr>
            <w:r>
              <w:rPr>
                <w:b/>
                <w:color w:val="173A5E"/>
              </w:rPr>
              <w:t xml:space="preserve">PREGUNTA CLÍNICA  </w:t>
            </w:r>
            <w:r>
              <w:t>¿Cómo describir lo observado durante una entrevista sin reemplazarlo por etiquetas diagnósticas, juicios personales o normalidades que no fueron evaluadas?</w:t>
            </w:r>
          </w:p>
        </w:tc>
      </w:tr>
    </w:tbl>
    <w:p>
      <w:pPr>
        <w:spacing w:after="0"/>
      </w:pPr>
    </w:p>
    <w:tbl>
      <w:tblPr>
        <w:tblW w:type="auto" w:w="0"/>
        <w:jc w:val="center"/>
        <w:tblLayout w:type="autofit"/>
        <w:tblLook w:firstColumn="1" w:firstRow="1" w:lastColumn="0" w:lastRow="0" w:noHBand="0" w:noVBand="1" w:val="04A0"/>
      </w:tblPr>
      <w:tblGrid>
        <w:gridCol w:w="9648"/>
      </w:tblGrid>
      <w:tr>
        <w:trPr>
          <w:tblHeader w:val="true"/>
        </w:trPr>
        <w:tc>
          <w:tcPr>
            <w:tcW w:type="dxa" w:w="9648"/>
            <w:vAlign w:val="center"/>
            <w:shd w:fill="EAF6F3"/>
            <w:tcBorders>
              <w:start w:val="single" w:sz="14" w:color="2A8C82"/>
            </w:tcBorders>
            <w:tcMar>
              <w:top w:w="130" w:type="dxa"/>
              <w:start w:w="190" w:type="dxa"/>
              <w:bottom w:w="130" w:type="dxa"/>
              <w:end w:w="190" w:type="dxa"/>
            </w:tcMar>
          </w:tcPr>
          <w:p>
            <w:pPr>
              <w:spacing w:after="0"/>
            </w:pPr>
            <w:r>
              <w:rPr>
                <w:b/>
                <w:color w:val="173A5E"/>
              </w:rPr>
              <w:t xml:space="preserve">IDEA CENTRAL  </w:t>
            </w:r>
            <w:r>
              <w:t>el examen mental comienza antes de la primera pregunta y separa tres niveles: lo observado, lo referido por la persona y la interpretación clínica provisional.</w:t>
            </w:r>
          </w:p>
        </w:tc>
      </w:tr>
    </w:tbl>
    <w:p>
      <w:pPr>
        <w:spacing w:after="0"/>
      </w:pPr>
    </w:p>
    <w:p>
      <w:pPr>
        <w:pStyle w:val="Heading1"/>
      </w:pPr>
      <w:r>
        <w:t>Por qué importa</w:t>
      </w:r>
    </w:p>
    <w:p>
      <w:r>
        <w:t>El examen mental es un corte transversal del funcionamiento psíquico durante una evaluación concreta. Permite comunicar hallazgos, comparar cambios y fundamentar decisiones. Una nota como “paciente psicótico, bizarro y poco cooperador” no cumple esa función: mezcla inferencias con lenguaje estigmatizante y no permite saber qué ocurrió. En cambio, describir postura, conducta de vigilancia, latencia, cantidad de habla y respuesta a límites entrega datos que otro clínico puede interpretar y contrastar.</w:t>
      </w:r>
    </w:p>
    <w:p>
      <w:r>
        <w:t>Los hallazgos dependen del contexto. El escaso contacto visual puede relacionarse con ansiedad, cultura, neurodivergencia o desconfianza. La inmovilidad puede reflejar sedación, catatonía, compromiso de conciencia o una decisión de no participar. Describir antes de explicar reduce errores diagnósticos y ayuda a reconocer signos que requieren una respuesta médica urgente.</w:t>
      </w:r>
    </w:p>
    <w:p>
      <w:pPr>
        <w:pStyle w:val="Heading1"/>
      </w:pPr>
      <w:r>
        <w:t>Objetivos de aprendizaje</w:t>
      </w:r>
    </w:p>
    <w:p>
      <w:pPr>
        <w:pStyle w:val="ListBullet"/>
      </w:pPr>
      <w:r>
        <w:t>Explicar qué información integra el examen mental y cuáles son sus límites.</w:t>
      </w:r>
    </w:p>
    <w:p>
      <w:pPr>
        <w:pStyle w:val="ListBullet"/>
      </w:pPr>
      <w:r>
        <w:t>Describir apariencia y autocuidado mediante hallazgos pertinentes y respetuosos.</w:t>
      </w:r>
    </w:p>
    <w:p>
      <w:pPr>
        <w:pStyle w:val="ListBullet"/>
      </w:pPr>
      <w:r>
        <w:t>Caracterizar actitud, contacto y conducta sin convertir inferencias en hechos.</w:t>
      </w:r>
    </w:p>
    <w:p>
      <w:pPr>
        <w:pStyle w:val="ListBullet"/>
      </w:pPr>
      <w:r>
        <w:t>Evaluar nivel de conciencia y actividad psicomotora básica.</w:t>
      </w:r>
    </w:p>
    <w:p>
      <w:pPr>
        <w:pStyle w:val="ListBullet"/>
      </w:pPr>
      <w:r>
        <w:t>Reconocer movimientos anormales y efectos extrapiramidales frecuentes.</w:t>
      </w:r>
    </w:p>
    <w:p>
      <w:pPr>
        <w:pStyle w:val="ListBullet"/>
      </w:pPr>
      <w:r>
        <w:t>Distinguir las características del habla de las funciones del lenguaje.</w:t>
      </w:r>
    </w:p>
    <w:p>
      <w:pPr>
        <w:pStyle w:val="ListBullet"/>
      </w:pPr>
      <w:r>
        <w:t>Redactar una nota observable, comparativa y clínicamente útil.</w:t>
      </w:r>
    </w:p>
    <w:p>
      <w:pPr>
        <w:pStyle w:val="Heading1"/>
      </w:pPr>
      <w:r>
        <w:t>Caso clínico</w:t>
      </w:r>
    </w:p>
    <w:p>
      <w:pPr>
        <w:shd w:fill="EAF3F7"/>
        <w:keepLines/>
        <w:pBdr>
          <w:left w:val="single" w:sz="8" w:space="8" w:color="246B8E"/>
        </w:pBdr>
        <w:ind w:left="173" w:right="86"/>
      </w:pPr>
      <w:r>
        <w:t>Nicolás, de 34 años, permanece de pie junto a la puerta, usa un abrigo cerrado pese al calor y mira repetidamente hacia el pasillo. Demora entre cuatro y seis segundos en contestar, habla en volumen bajo y utiliza frases breves. En dos ocasiones sonríe cuando no se identifica un estímulo externo relacionado. Al inicio rechaza sentarse, pero acepta permanecer en la sala después de que se le explica la duración y el propósito de la entrevista. La observación sugiere hipótesis —miedo, suspicacia, percepción anómala, enlentecimiento o respuesta deliberada—, pero ninguna queda demostrada sólo por esos gestos.</w:t>
      </w:r>
    </w:p>
    <w:p>
      <w:pPr>
        <w:pStyle w:val="Heading1"/>
      </w:pPr>
      <w:r>
        <w:t>Qué es y qué no es el examen mental</w:t>
      </w:r>
    </w:p>
    <w:p>
      <w:r>
        <w:t>El examen mental integra observación directa, desempeño en tareas breves y experiencias informadas por la persona. Algunos dominios son predominantemente observables, como apariencia, conducta y habla. Otros exigen preguntas, como ánimo, contenido del pensamiento o experiencias perceptivas. La cognición combina observación y pruebas. La organización escrita puede ser estable, aunque el examen ocurra de forma continua durante toda la interacción.</w:t>
      </w:r>
    </w:p>
    <w:p>
      <w:r>
        <w:t>El hallazgo siempre está situado: fecha, lugar, modalidad, idioma, condiciones médicas, presencia de acompañantes y efecto de medicamentos. Una evaluación por videollamada limita la observación de marcha, movimientos finos, higiene global o interacción con el entorno. Una persona sedada después de una contención farmacológica no debe describirse como si su estado representara el basal.</w:t>
      </w:r>
    </w:p>
    <w:p>
      <w:r>
        <w:t>No corresponde completar “normal” por rutina. Si no se exploró orientación, memoria o ideación suicida, se consigna que no fueron evaluadas o que la evaluación fue limitada. Tampoco se deduce un síntoma de una conducta aislada. Mirar un rincón o sonreír sin un estímulo evidente puede motivar preguntas sobre percepción, pero no demuestra alucinaciones.</w:t>
      </w:r>
    </w:p>
    <w:p>
      <w:pPr>
        <w:pStyle w:val="Heading1"/>
      </w:pPr>
      <w:r>
        <w:t>Apariencia y autocuidado</w:t>
      </w:r>
    </w:p>
    <w:p>
      <w:r>
        <w:t>La descripción comienza por una identificación clínica mínima y por la impresión general relevante. Puede incluir edad aparente cuando difiere de manera significativa, constitución o estado nutricional aparente, vestimenta en relación con clima y contexto, aseo, lesiones visibles, dispositivos médicos y signos de dolor, intoxicación o abstinencia. No se evalúa atractivo ni se infiere nivel socioeconómico por la ropa.</w:t>
      </w:r>
    </w:p>
    <w:p>
      <w:r>
        <w:t>Los términos deben anclarse en observaciones. En lugar de “desaseado”, puede registrarse “cabello apelmazado, olor corporal intenso y ropa con manchas antiguas”, sólo si esos datos aportan a la evaluación. Una vestimenta inhabitual puede obedecer a cultura, religión, identidad, pobreza, falta de vivienda, preferencias personales o síntomas; el significado no se presume.</w:t>
      </w:r>
    </w:p>
    <w:p>
      <w:r>
        <w:t>El autocuidado se interpreta respecto del funcionamiento previo. Una persona habitualmente meticulosa que deja de bañarse y cambiarse de ropa presenta un cambio distinto de quien mantiene su estilo habitual. Lesiones, equimosis o bajo peso pueden exigir evaluación médica y preguntas cuidadosas sobre trauma, violencia, trastorno alimentario o enfermedad, sin atribuir de inmediato una causa.</w:t>
      </w:r>
    </w:p>
    <w:p>
      <w:pPr>
        <w:pStyle w:val="Heading1"/>
      </w:pPr>
      <w:r>
        <w:t>Actitud, contacto y conducta</w:t>
      </w:r>
    </w:p>
    <w:p>
      <w:r>
        <w:t>La actitud describe cómo la persona se relaciona con la evaluación: colaboradora, cautelosa, suspicaz, evasiva, hostil, desinhibida o demandante son términos posibles, pero deben acompañarse de ejemplos. “Rechaza responder sobre consumo y pregunta tres veces quién verá la ficha” es más informativo que “poco colaborador”. El desacuerdo con el entrevistador no equivale a hostilidad, y pedir explicaciones no indica necesariamente suspicacia patológica.</w:t>
      </w:r>
    </w:p>
    <w:p>
      <w:r>
        <w:t>El contacto incluye reciprocidad, atención compartida, distancia interpersonal, contacto visual, respuesta al nombre y ajuste al ritmo del diálogo. El contacto visual varía según cultura, ansiedad, trauma, neurodivergencia y contexto. Su ausencia aislada no diagnostica autismo, psicosis ni engaño. También se observa la relación con acompañantes: quién responde, quién interrumpe, si existe temor o control y si la persona puede hablar en privado.</w:t>
      </w:r>
    </w:p>
    <w:p>
      <w:r>
        <w:t>La conducta puede ser organizada o desorganizada en relación con una meta y con el contexto. Se describen postura, aproximación a la puerta, deambulación, búsqueda de salida, desinhibición, oposición a límites, conductas repetitivas y respuesta a estímulos ambientales. Si se sospecha respuesta a una experiencia interna, se escribe la conducta —pausas súbitas, mirada fija, habla sin interlocutor visible— y luego se pregunta por el fenómeno. La inferencia se mantiene como tal.</w:t>
      </w:r>
    </w:p>
    <w:p>
      <w:r>
        <w:t>La evaluación incluye seguridad. Amenazas, aumento progresivo de activación, invasión del espacio, búsqueda de objetos o incapacidad de seguir límites requieren ajustar distancia, pedir apoyo y eventualmente terminar la entrevista. “Conducta agitada” debe diferenciarse de violencia consumada. Etiquetar a una persona como peligrosa sin describir acciones ni contexto añade estigma y poca información.</w:t>
      </w:r>
    </w:p>
    <w:p>
      <w:pPr>
        <w:pStyle w:val="Heading1"/>
      </w:pPr>
      <w:r>
        <w:t>Conciencia, alerta y respuesta</w:t>
      </w:r>
    </w:p>
    <w:p>
      <w:r>
        <w:t>El nivel de conciencia se describe con términos clínicos generales como vigil, somnoliento, obnubilado o estuporoso, según el grado de alerta y respuesta. Una disminución aguda o fluctuante es primero un problema médico. Deben priorizarse evaluación primaria, signos vitales, glicemia y búsqueda de intoxicación, abstinencia, infección, alteración metabólica, lesión neurológica u otras causas según el contexto.</w:t>
      </w:r>
    </w:p>
    <w:p>
      <w:r>
        <w:t>La baja respuesta no debe llamarse falta de cooperación antes de considerar sedación, hipoacusia, trastorno del lenguaje, catatonía, depresión grave o compromiso de conciencia. La orientación parcial no descarta delirium; la inatención y la fluctuación son más relevantes. El interno debe solicitar supervisión y evaluación médica cuando no puede distinguir estas posibilidades.</w:t>
      </w:r>
    </w:p>
    <w:p>
      <w:pPr>
        <w:pStyle w:val="Heading1"/>
      </w:pPr>
      <w:r>
        <w:t>Psicomotricidad y movimientos anormales</w:t>
      </w:r>
    </w:p>
    <w:p>
      <w:r>
        <w:t>La psicomotricidad puede estar aumentada, disminuida o sin alteraciones evidentes. Se observan inicio del movimiento, velocidad, amplitud, espontaneidad, marcha, postura y actividad dirigida a metas. La agitación es un aumento de actividad asociado a tensión o desorganización; la inquietud puede ser más leve. El enlentecimiento psicomotor implica una reducción observable de movimiento y respuesta, no sólo cansancio referido.</w:t>
      </w:r>
    </w:p>
    <w:p>
      <w:r>
        <w:t>Manierismos son movimientos o gestos estilizados que exageran una acción con propósito; estereotipias son patrones repetitivos aparentemente no dirigidos a una meta; los tics son movimientos o vocalizaciones súbitos y recurrentes. Estos fenómenos no pertenecen de forma exclusiva a un diagnóstico. Inmovilidad, mutismo, negativismo, posturas mantenidas, flexibilidad cérea, ecolalia o ecopraxia deben hacer considerar catatonía, condición que requiere evaluación específica y búsqueda de causas médicas y farmacológicas.</w:t>
      </w:r>
    </w:p>
    <w:p>
      <w:r>
        <w:t>Los efectos extrapiramidales deben buscarse en quienes reciben bloqueadores dopaminérgicos. Incluyen distonía aguda, parkinsonismo, acatisia y discinesia tardía. La acatisia combina una necesidad interna angustiante de moverse con actividad motora observable y puede confundirse con ansiedad o agitación; su relación temporal con un fármaco es clave. La distonía de cuello o musculatura laríngea puede ser una urgencia. Temblor, rigidez, bradicinesia, movimientos orobucales y alteración de la marcha deben describirse y comunicarse.</w:t>
      </w:r>
    </w:p>
    <w:p>
      <w:pPr>
        <w:pStyle w:val="Heading1"/>
      </w:pPr>
      <w:r>
        <w:t>Habla y lenguaje</w:t>
      </w:r>
    </w:p>
    <w:p>
      <w:r>
        <w:t>El habla se caracteriza por cantidad, espontaneidad, velocidad, volumen, prosodia, latencia, continuidad y articulación. Puede existir habla presionada, difícil de interrumpir; pobreza del habla; mutismo; disartria o alteraciones de la prosodia. Hablar rápido por ansiedad no equivale automáticamente a presión del habla ni a fuga de ideas. La latencia debe diferenciarse de distracción, dificultad auditiva o elaboración cuidadosa.</w:t>
      </w:r>
    </w:p>
    <w:p>
      <w:r>
        <w:t>El lenguaje comprende comprensión, nominación, repetición, fluencia, sintaxis, semántica, lectura y escritura cuando corresponde evaluarlas. Una afasia, disartria o asimetría neurológica de inicio súbito se trata como posible urgencia neurológica y no como “conducta extraña”. La afasia puede producir respuestas erróneas o discurso difícil de comprender sin que exista un trastorno formal del pensamiento. La disartria altera la ejecución motora del habla, no el lenguaje; puede asociarse a intoxicación, lesión neurológica o efectos farmacológicos.</w:t>
      </w:r>
    </w:p>
    <w:p>
      <w:r>
        <w:t>En personas bilingües o entrevistadas mediante intérprete, la fluidez y las elecciones léxicas requieren cautela. Nivel educacional, alfabetización y diferencias dialectales también influyen. La función del examen no es premiar una norma lingüística, sino detectar cambios o alteraciones clínicamente significativas.</w:t>
      </w:r>
    </w:p>
    <w:p>
      <w:pPr>
        <w:pStyle w:val="Heading1"/>
      </w:pPr>
      <w:r>
        <w:t>Redactar una observación útil</w:t>
      </w:r>
    </w:p>
    <w:p>
      <w:r>
        <w:t>Una versión adecuada del caso sería: “Permanece de pie junto a la puerta y vigila repetidamente el pasillo. Responde después de latencias de cuatro a seis segundos, con frases breves, volumen bajo y articulación comprensible. Mantiene contacto visual intermitente. En dos ocasiones sonríe sin estímulo externo identificable. Inicialmente rechaza sentarse; acepta permanecer al explicársele propósito y duración”.</w:t>
      </w:r>
    </w:p>
    <w:p>
      <w:r>
        <w:t>La nota permite comparar a Nicolás en evaluaciones sucesivas y sustentar preguntas posteriores. No afirma que esté alucinando ni que sea “bizarro”. Si la entrevista fue parcial, también debe consignarse. La precisión descriptiva no es ornamentación: es la base de inferencias clínicas responsables.</w:t>
      </w:r>
    </w:p>
    <w:p>
      <w:pPr>
        <w:pStyle w:val="Heading1"/>
      </w:pPr>
      <w:r>
        <w:t>Errores frecuentes</w:t>
      </w:r>
    </w:p>
    <w:p>
      <w:pPr>
        <w:pStyle w:val="ListBullet"/>
      </w:pPr>
      <w:r>
        <w:t>Registrar como normal un dominio que no fue explorado.</w:t>
      </w:r>
    </w:p>
    <w:p>
      <w:pPr>
        <w:pStyle w:val="ListBullet"/>
      </w:pPr>
      <w:r>
        <w:t>Incluir detalles de apariencia irrelevantes o humillantes.</w:t>
      </w:r>
    </w:p>
    <w:p>
      <w:pPr>
        <w:pStyle w:val="ListBullet"/>
      </w:pPr>
      <w:r>
        <w:t>Inferir diagnóstico, engaño o nivel socioeconómico desde el contacto visual o la vestimenta.</w:t>
      </w:r>
    </w:p>
    <w:p>
      <w:pPr>
        <w:pStyle w:val="ListBullet"/>
      </w:pPr>
      <w:r>
        <w:t>Llamar agresiva a una persona tensa, asustada o en desacuerdo sin describir su conducta.</w:t>
      </w:r>
    </w:p>
    <w:p>
      <w:pPr>
        <w:pStyle w:val="ListBullet"/>
      </w:pPr>
      <w:r>
        <w:t>Confundir somnolencia, catatonía o afasia con falta de colaboración.</w:t>
      </w:r>
    </w:p>
    <w:p>
      <w:pPr>
        <w:pStyle w:val="ListBullet"/>
      </w:pPr>
      <w:r>
        <w:t>Confundir acatisia con ansiedad y omitir la revisión farmacológica.</w:t>
      </w:r>
    </w:p>
    <w:p>
      <w:pPr>
        <w:pStyle w:val="ListBullet"/>
      </w:pPr>
      <w:r>
        <w:t>Presentar la respuesta a “estímulos internos” como hecho a partir de un gesto aislado.</w:t>
      </w:r>
    </w:p>
    <w:p>
      <w:pPr>
        <w:pStyle w:val="Heading1"/>
      </w:pPr>
      <w:r>
        <w:t>Para recordar</w:t>
      </w:r>
    </w:p>
    <w:p>
      <w:pPr>
        <w:spacing w:after="60" w:line="288" w:lineRule="auto"/>
        <w:ind w:left="432" w:hanging="216"/>
        <w:shd w:fill="EAF6F3"/>
        <w:keepNext/>
        <w:keepLines/>
        <w:pBdr>
          <w:left w:val="single" w:sz="8" w:space="8" w:color="2A8C82"/>
        </w:pBdr>
      </w:pPr>
      <w:r>
        <w:t>1. El examen mental distingue observación, relato e interpretación provisional.</w:t>
      </w:r>
    </w:p>
    <w:p>
      <w:pPr>
        <w:spacing w:after="60" w:line="288" w:lineRule="auto"/>
        <w:ind w:left="432" w:hanging="216"/>
        <w:shd w:fill="EAF6F3"/>
        <w:keepNext/>
        <w:keepLines/>
        <w:pBdr>
          <w:left w:val="single" w:sz="8" w:space="8" w:color="2A8C82"/>
        </w:pBdr>
      </w:pPr>
      <w:r>
        <w:t>2. Toda conducta adquiere significado sólo al considerar contexto y funcionamiento previo.</w:t>
      </w:r>
    </w:p>
    <w:p>
      <w:pPr>
        <w:spacing w:after="60" w:line="288" w:lineRule="auto"/>
        <w:ind w:left="432" w:hanging="216"/>
        <w:shd w:fill="EAF6F3"/>
        <w:keepNext/>
        <w:keepLines/>
        <w:pBdr>
          <w:left w:val="single" w:sz="8" w:space="8" w:color="2A8C82"/>
        </w:pBdr>
      </w:pPr>
      <w:r>
        <w:t>3. Una alteración aguda de conciencia o lenguaje exige priorizar causas médicas.</w:t>
      </w:r>
    </w:p>
    <w:p>
      <w:pPr>
        <w:spacing w:after="60" w:line="288" w:lineRule="auto"/>
        <w:ind w:left="432" w:hanging="216"/>
        <w:shd w:fill="EAF6F3"/>
        <w:keepNext/>
        <w:keepLines/>
        <w:pBdr>
          <w:left w:val="single" w:sz="8" w:space="8" w:color="2A8C82"/>
        </w:pBdr>
      </w:pPr>
      <w:r>
        <w:t>4. Habla, lenguaje y pensamiento son dominios relacionados, pero no equivalentes.</w:t>
      </w:r>
    </w:p>
    <w:p>
      <w:pPr>
        <w:spacing w:after="60" w:line="288" w:lineRule="auto"/>
        <w:ind w:left="432" w:hanging="216"/>
        <w:shd w:fill="EAF6F3"/>
        <w:keepLines/>
        <w:pBdr>
          <w:left w:val="single" w:sz="8" w:space="8" w:color="2A8C82"/>
        </w:pBdr>
      </w:pPr>
      <w:r>
        <w:t>5. Una buena nota permite que otro clínico comprenda lo que realmente se observó.</w:t>
      </w:r>
    </w:p>
    <w:p>
      <w:pPr>
        <w:pStyle w:val="Heading1"/>
      </w:pPr>
      <w:r>
        <w:t>Bibliografía esencial</w:t>
      </w:r>
    </w:p>
    <w:p>
      <w:pPr>
        <w:pStyle w:val="Bibliography"/>
      </w:pPr>
      <w:r>
        <w:t xml:space="preserve">• Trzepacz PT, Baker RW. </w:t>
      </w:r>
      <w:r>
        <w:rPr>
          <w:i/>
        </w:rPr>
        <w:t>The Psychiatric Mental Status Examination</w:t>
      </w:r>
      <w:r>
        <w:t>. Oxford University Press; 1993.</w:t>
      </w:r>
    </w:p>
    <w:p>
      <w:pPr>
        <w:pStyle w:val="Bibliography"/>
      </w:pPr>
      <w:r>
        <w:t xml:space="preserve">• Oyebode F. </w:t>
      </w:r>
      <w:r>
        <w:rPr>
          <w:i/>
        </w:rPr>
        <w:t>Sims’ Symptoms in the Mind: Textbook of Descriptive Psychopathology</w:t>
      </w:r>
      <w:r>
        <w:t>. 7th ed. Elsevier; 2022.</w:t>
      </w:r>
    </w:p>
    <w:p>
      <w:pPr>
        <w:pStyle w:val="Bibliography"/>
      </w:pPr>
      <w:r>
        <w:t xml:space="preserve">• Casey P, Kelly B. </w:t>
      </w:r>
      <w:r>
        <w:rPr>
          <w:i/>
        </w:rPr>
        <w:t>Fish’s Clinical Psychopathology: Signs and Symptoms in Psychiatry</w:t>
      </w:r>
      <w:r>
        <w:t>. 4th ed. Cambridge University Press; 2019.</w:t>
      </w:r>
    </w:p>
    <w:p>
      <w:pPr>
        <w:pStyle w:val="Bibliography"/>
      </w:pPr>
      <w:r>
        <w:t xml:space="preserve">• American Psychiatric Association. </w:t>
      </w:r>
      <w:r>
        <w:rPr>
          <w:i/>
        </w:rPr>
        <w:t>Diagnostic and Statistical Manual of Mental Disorders: DSM-5-TR</w:t>
      </w:r>
      <w:r>
        <w:t>. American Psychiatric Association Publishing; 2022.</w:t>
      </w:r>
    </w:p>
    <w:p>
      <w:pPr>
        <w:pStyle w:val="Bibliography"/>
      </w:pPr>
      <w:r>
        <w:t xml:space="preserve">• World Health Organization. </w:t>
      </w:r>
      <w:r>
        <w:rPr>
          <w:i/>
        </w:rPr>
        <w:t>Clinical Descriptions and Diagnostic Requirements for ICD-11 Mental, Behavioural and Neurodevelopmental Disorders</w:t>
      </w:r>
      <w:r>
        <w:t xml:space="preserve">. World Health Organization; 2024. </w:t>
      </w:r>
      <w:hyperlink r:id="rId14">
        <w:r>
          <w:rPr>
            <w:color w:val="246B8E"/>
            <w:u w:val="single"/>
          </w:rPr>
          <w:t>Publicación oficial</w:t>
        </w:r>
      </w:hyperlink>
      <w:r>
        <w:t>.</w:t>
      </w:r>
    </w:p>
    <w:p>
      <w:r>
        <w:br w:type="page"/>
      </w:r>
    </w:p>
    <w:p>
      <w:pPr>
        <w:spacing w:after="480"/>
      </w:pPr>
      <w:r>
        <w:rPr>
          <w:rFonts w:ascii="Calibri" w:hAnsi="Calibri"/>
          <w:b/>
          <w:color w:val="2A8C82"/>
          <w:sz w:val="20"/>
        </w:rPr>
        <w:t>CAPÍTULO 05 · MATERIAL PARA ESTUDIANTES</w:t>
      </w:r>
    </w:p>
    <w:tbl>
      <w:tblPr>
        <w:tblW w:type="auto" w:w="0"/>
        <w:jc w:val="left"/>
        <w:tblLayout w:type="fixed"/>
        <w:tblLook w:firstColumn="1" w:firstRow="1" w:lastColumn="0" w:lastRow="0" w:noHBand="0" w:noVBand="1" w:val="04A0"/>
      </w:tblPr>
      <w:tblGrid>
        <w:gridCol w:w="9648"/>
      </w:tblGrid>
      <w:tr>
        <w:trPr>
          <w:tblHeader w:val="true"/>
        </w:trPr>
        <w:tc>
          <w:tcPr>
            <w:tcW w:type="dxa" w:w="9072"/>
            <w:shd w:fill="173A5E"/>
            <w:tcMar>
              <w:top w:w="120" w:type="dxa"/>
              <w:start w:w="220" w:type="dxa"/>
              <w:bottom w:w="120" w:type="dxa"/>
              <w:end w:w="220" w:type="dxa"/>
            </w:tcMar>
          </w:tcPr>
          <w:p>
            <w:pPr>
              <w:spacing w:after="0"/>
            </w:pPr>
            <w:r>
              <w:rPr>
                <w:rFonts w:ascii="Calibri" w:hAnsi="Calibri"/>
                <w:b/>
                <w:color w:val="FFFFFF"/>
                <w:sz w:val="19"/>
              </w:rPr>
              <w:t>MÓDULO I · ENTREVISTA, EXAMEN MENTAL Y RAZONAMIENTO CLÍNICO</w:t>
            </w:r>
          </w:p>
        </w:tc>
      </w:tr>
    </w:tbl>
    <w:p>
      <w:pPr>
        <w:pStyle w:val="Title"/>
        <w:spacing w:before="520" w:after="360"/>
        <w:outlineLvl w:val="0"/>
      </w:pPr>
      <w:bookmarkStart w:id="1005" w:name="chapter_05"/>
      <w:r>
        <w:t>Examen mental II: ánimo, afecto, ansiedad, voluntad e impulsos</w:t>
      </w:r>
      <w:bookmarkEnd w:id="1005"/>
    </w:p>
    <w:p>
      <w:pPr>
        <w:spacing w:after="80"/>
      </w:pPr>
      <w:r>
        <w:rPr>
          <w:rFonts w:ascii="Calibri" w:hAnsi="Calibri"/>
          <w:b/>
          <w:color w:val="246B8E"/>
          <w:sz w:val="26"/>
        </w:rPr>
        <w:t>Programa de Psiquiatría para internos de Medicina</w:t>
      </w:r>
    </w:p>
    <w:p>
      <w:r>
        <w:rPr>
          <w:rFonts w:ascii="Calibri" w:hAnsi="Calibri"/>
          <w:color w:val="6B7280"/>
          <w:sz w:val="22"/>
        </w:rPr>
        <w:t>Lectura complementaria · Chile · Versión final para revisión humana · 2026</w:t>
      </w:r>
    </w:p>
    <w:p/>
    <w:p/>
    <w:p/>
    <w:p/>
    <w:p/>
    <w:tbl>
      <w:tblPr>
        <w:tblW w:type="auto" w:w="0"/>
        <w:jc w:val="left"/>
        <w:tblLayout w:type="fixed"/>
        <w:tblLook w:firstColumn="1" w:firstRow="1" w:lastColumn="0" w:lastRow="0" w:noHBand="0" w:noVBand="1" w:val="04A0"/>
      </w:tblPr>
      <w:tblGrid>
        <w:gridCol w:w="9648"/>
      </w:tblGrid>
      <w:tr>
        <w:trPr>
          <w:tblHeader w:val="true"/>
        </w:trPr>
        <w:tc>
          <w:tcPr>
            <w:tcW w:type="dxa" w:w="9648"/>
            <w:shd w:fill="F3F5F6"/>
            <w:tcBorders>
              <w:start w:val="single" w:sz="18" w:color="2A8C82"/>
            </w:tcBorders>
            <w:tcMar>
              <w:top w:w="160" w:type="dxa"/>
              <w:start w:w="220" w:type="dxa"/>
              <w:bottom w:w="160" w:type="dxa"/>
              <w:end w:w="220" w:type="dxa"/>
            </w:tcMar>
          </w:tcPr>
          <w:p>
            <w:pPr>
              <w:spacing w:after="0"/>
            </w:pPr>
            <w:r>
              <w:rPr>
                <w:rFonts w:ascii="Calibri" w:hAnsi="Calibri"/>
                <w:i/>
                <w:color w:val="6B7280"/>
                <w:sz w:val="18"/>
              </w:rPr>
              <w:t>Versión docente final para revisión humana. Material propuesto y contextualizado a Chile; no corresponde a un programa oficial de la Pontificia Universidad Católica de Chile ni sustituye protocolos locales, supervisión clínica o evaluación especializada. Fuentes revisadas al 15 de agosto de 2026.</w:t>
            </w:r>
          </w:p>
        </w:tc>
      </w:tr>
    </w:tbl>
    <w:p>
      <w:r>
        <w:br w:type="page"/>
      </w:r>
    </w:p>
    <w:tbl>
      <w:tblPr>
        <w:tblW w:type="auto" w:w="0"/>
        <w:jc w:val="center"/>
        <w:tblLayout w:type="autofit"/>
        <w:tblLook w:firstColumn="1" w:firstRow="1" w:lastColumn="0" w:lastRow="0" w:noHBand="0" w:noVBand="1" w:val="04A0"/>
      </w:tblPr>
      <w:tblGrid>
        <w:gridCol w:w="9648"/>
      </w:tblGrid>
      <w:tr>
        <w:trPr>
          <w:tblHeader w:val="true"/>
        </w:trPr>
        <w:tc>
          <w:tcPr>
            <w:tcW w:type="dxa" w:w="9648"/>
            <w:vAlign w:val="center"/>
            <w:shd w:fill="EAF3F7"/>
            <w:tcBorders>
              <w:start w:val="single" w:sz="14" w:color="2A8C82"/>
            </w:tcBorders>
            <w:tcMar>
              <w:top w:w="130" w:type="dxa"/>
              <w:start w:w="190" w:type="dxa"/>
              <w:bottom w:w="130" w:type="dxa"/>
              <w:end w:w="190" w:type="dxa"/>
            </w:tcMar>
          </w:tcPr>
          <w:p>
            <w:pPr>
              <w:spacing w:after="0"/>
            </w:pPr>
            <w:r>
              <w:rPr>
                <w:b/>
                <w:color w:val="173A5E"/>
              </w:rPr>
              <w:t xml:space="preserve">PREGUNTA CLÍNICA  </w:t>
            </w:r>
            <w:r>
              <w:t>¿Cómo distinguir lo que la persona siente de lo que el entrevistador observa, y cómo separar fenómenos próximos —anhedonia, apatía, abulia, fatiga e impulsividad— que conducen a hipótesis diferentes?</w:t>
            </w:r>
          </w:p>
        </w:tc>
      </w:tr>
    </w:tbl>
    <w:p>
      <w:pPr>
        <w:spacing w:after="0"/>
      </w:pPr>
    </w:p>
    <w:tbl>
      <w:tblPr>
        <w:tblW w:type="auto" w:w="0"/>
        <w:jc w:val="center"/>
        <w:tblLayout w:type="autofit"/>
        <w:tblLook w:firstColumn="1" w:firstRow="1" w:lastColumn="0" w:lastRow="0" w:noHBand="0" w:noVBand="1" w:val="04A0"/>
      </w:tblPr>
      <w:tblGrid>
        <w:gridCol w:w="9648"/>
      </w:tblGrid>
      <w:tr>
        <w:trPr>
          <w:tblHeader w:val="true"/>
        </w:trPr>
        <w:tc>
          <w:tcPr>
            <w:tcW w:type="dxa" w:w="9648"/>
            <w:vAlign w:val="center"/>
            <w:shd w:fill="EAF6F3"/>
            <w:tcBorders>
              <w:start w:val="single" w:sz="14" w:color="2A8C82"/>
            </w:tcBorders>
            <w:tcMar>
              <w:top w:w="130" w:type="dxa"/>
              <w:start w:w="190" w:type="dxa"/>
              <w:bottom w:w="130" w:type="dxa"/>
              <w:end w:w="190" w:type="dxa"/>
            </w:tcMar>
          </w:tcPr>
          <w:p>
            <w:pPr>
              <w:spacing w:after="0"/>
            </w:pPr>
            <w:r>
              <w:rPr>
                <w:b/>
                <w:color w:val="173A5E"/>
              </w:rPr>
              <w:t xml:space="preserve">IDEA CENTRAL  </w:t>
            </w:r>
            <w:r>
              <w:t>el ánimo se obtiene principalmente del relato; el afecto se observa durante la interacción. Placer, energía, motivación, velocidad e inhibición conductual son dimensiones relacionadas, pero no intercambiables.</w:t>
            </w:r>
          </w:p>
        </w:tc>
      </w:tr>
    </w:tbl>
    <w:p>
      <w:pPr>
        <w:spacing w:after="0"/>
      </w:pPr>
    </w:p>
    <w:p>
      <w:pPr>
        <w:pStyle w:val="Heading1"/>
      </w:pPr>
      <w:r>
        <w:t>Por qué importa</w:t>
      </w:r>
    </w:p>
    <w:p>
      <w:r>
        <w:t>“Ánimo triste y afecto depresivo” suele escribirse como una fórmula automática. Sin embargo, el llanto no demuestra por sí solo un ánimo deprimido y una sonrisa no lo descarta. Del mismo modo, la dificultad para levantarse puede provenir de anhedonia, apatía, fatiga, enlentecimiento, ansiedad, sedación o una condición médica. Usar una palabra imprecisa puede orientar mal el diagnóstico y el tratamiento.</w:t>
      </w:r>
    </w:p>
    <w:p>
      <w:r>
        <w:t>El examen de estos dominios combina preguntas sobre la experiencia interna con observación y ejemplos conductuales. El objetivo no es clasificar emociones normales como síntomas, sino determinar cambio respecto del basal, persistencia, contexto, control, interferencia y relación con otros fenómenos. En especial, la ansiedad somática y la desinhibición obligan a mantener un diagnóstico diferencial médico, farmacológico y por sustancias.</w:t>
      </w:r>
    </w:p>
    <w:p>
      <w:pPr>
        <w:pStyle w:val="Heading1"/>
      </w:pPr>
      <w:r>
        <w:t>Objetivos de aprendizaje</w:t>
      </w:r>
    </w:p>
    <w:p>
      <w:pPr>
        <w:pStyle w:val="ListBullet"/>
      </w:pPr>
      <w:r>
        <w:t>Diferenciar ánimo subjetivo y afecto observado.</w:t>
      </w:r>
    </w:p>
    <w:p>
      <w:pPr>
        <w:pStyle w:val="ListBullet"/>
      </w:pPr>
      <w:r>
        <w:t>Describir afecto por rango, intensidad, estabilidad, reactividad y congruencia contextual.</w:t>
      </w:r>
    </w:p>
    <w:p>
      <w:pPr>
        <w:pStyle w:val="ListBullet"/>
      </w:pPr>
      <w:r>
        <w:t>Caracterizar ansiedad, miedo, preocupación y crisis de pánico sin convertirlos automáticamente en trastornos.</w:t>
      </w:r>
    </w:p>
    <w:p>
      <w:pPr>
        <w:pStyle w:val="ListBullet"/>
      </w:pPr>
      <w:r>
        <w:t>Distinguir anhedonia, apatía, abulia, fatiga y enlentecimiento psicomotor.</w:t>
      </w:r>
    </w:p>
    <w:p>
      <w:pPr>
        <w:pStyle w:val="ListBullet"/>
      </w:pPr>
      <w:r>
        <w:t>Explorar impulsividad y conductas de riesgo mediante antecedentes, grado de planificación y consecuencias.</w:t>
      </w:r>
    </w:p>
    <w:p>
      <w:pPr>
        <w:pStyle w:val="ListBullet"/>
      </w:pPr>
      <w:r>
        <w:t>Evaluar sueño, apetito y sexualidad como cambios respecto del funcionamiento habitual.</w:t>
      </w:r>
    </w:p>
    <w:p>
      <w:pPr>
        <w:pStyle w:val="ListBullet"/>
      </w:pPr>
      <w:r>
        <w:t>Redactar hallazgos sin sobrediagnosticar a partir de una conducta aislada.</w:t>
      </w:r>
    </w:p>
    <w:p>
      <w:pPr>
        <w:pStyle w:val="Heading1"/>
      </w:pPr>
      <w:r>
        <w:t>Caso clínico</w:t>
      </w:r>
    </w:p>
    <w:p>
      <w:pPr>
        <w:shd w:fill="EAF3F7"/>
        <w:keepLines/>
        <w:pBdr>
          <w:left w:val="single" w:sz="8" w:space="8" w:color="246B8E"/>
        </w:pBdr>
        <w:ind w:left="173" w:right="86"/>
      </w:pPr>
      <w:r>
        <w:t>Carolina, de 41 años, responde inicialmente que su ánimo está “bien”, pero después relata seis semanas de tristeza, pérdida de interés, culpa y dificultad para iniciar tareas. Durante la entrevista mantiene un afecto de predominio triste, con rango reducido, aunque sonríe al recordar a su padre y se emociona al hablar de sus hijos. Refiere episodios de palpitaciones y temor intenso que llama “ataques de pánico”, sin que aún se hayan precisado inicio, duración, desencadenantes ni evaluación médica. Duerme cuatro horas y se siente agotada al día siguiente. Ha dejado de cocinar porque “nada vale la pena”, pero logra preparar alimentos cuando sus hijos lo necesitan. El caso exige describir reactividad, motivación y función antes de asignar etiquetas.</w:t>
      </w:r>
    </w:p>
    <w:p>
      <w:pPr>
        <w:pStyle w:val="Heading1"/>
      </w:pPr>
      <w:r>
        <w:t>Ánimo: la experiencia sostenida</w:t>
      </w:r>
    </w:p>
    <w:p>
      <w:r>
        <w:t>El ánimo es el tono emocional subjetivo predominante durante un período. Se explora con preguntas abiertas —“¿Cómo se ha sentido la mayor parte de los días?”— y luego se precisan calidad, duración, variación, intensidad, desencadenantes e impacto. Las palabras de la persona pueden no coincidir con el vocabulario técnico: “vacío”, “irritable”, “apagado” o “sobrepasada” requieren clarificación.</w:t>
      </w:r>
    </w:p>
    <w:p>
      <w:r>
        <w:t>Un estado de ánimo puede ser deprimido, elevado, expansivo, irritable, ansioso o relativamente eutímico, entre otras descripciones. “Eutimia” no significa ausencia de toda emoción ni se concluye sólo porque alguien sonría. La irritabilidad es transdiagnóstica: puede aparecer en depresión, manía, ansiedad, trauma, dolor, abstinencia, privación de sueño o situaciones comprensibles.</w:t>
      </w:r>
    </w:p>
    <w:p>
      <w:r>
        <w:t>La evaluación siempre se ancla al tiempo y al basal. Una reacción intensa y breve ante una pérdida no equivale por sí misma a un episodio depresivo. Un período de alegría tampoco constituye hipomanía. Para evaluar elevación patológica se consideran menor necesidad de sueño, aumento de actividad dirigida a metas, presión del habla, grandiosidad, desinhibición, duración y cambio funcional.</w:t>
      </w:r>
    </w:p>
    <w:p>
      <w:r>
        <w:t>Cuando la respuesta verbal parece discordante con otros datos, se explora sin acusar. “Me dice que está bien, pero también que dejó casi todas sus actividades; ¿cómo entiende esa diferencia?” puede revelar minimización, automatismo social, dificultad para identificar emociones o un cambio ocurrido durante la entrevista.</w:t>
      </w:r>
    </w:p>
    <w:p>
      <w:pPr>
        <w:pStyle w:val="Heading1"/>
      </w:pPr>
      <w:r>
        <w:t>Afecto: la expresión observada</w:t>
      </w:r>
    </w:p>
    <w:p>
      <w:r>
        <w:t>El afecto es la expresión emocional apreciable en rostro, voz, postura, gestos y relación. Se describe mediante varias dimensiones, no sólo como “adecuado” o “inadecuado”. El rango puede ser amplio, reducido o prácticamente ausente; la intensidad, baja o aumentada; la estabilidad, sostenida o cambiante; la reactividad, presente o limitada frente a temas y estímulos; y la modulación, ajustada o difícil de regular.</w:t>
      </w:r>
    </w:p>
    <w:p>
      <w:r>
        <w:t>La labilidad implica cambios rápidos, marcados y poco controlados, no simplemente emoción intensa. La reactividad es la capacidad de modificar la expresión en respuesta a acontecimientos. Una persona deprimida puede conservar reactividad, y eso no invalida el diagnóstico. El aplanamiento afectivo describe una disminución notable de expresión; no es sinónimo de anhedonia ni demuestra esquizofrenia, pues también puede asociarse a fármacos, trastornos neurológicos, depresión grave o estilo expresivo.</w:t>
      </w:r>
    </w:p>
    <w:p>
      <w:r>
        <w:t>La congruencia se valora entre afecto y contenido o ánimo referido. Una aparente incongruencia exige explorar contexto. Sonreír al contar algo doloroso puede expresar vergüenza, ansiedad, cortesía o regulación interpersonal. La expresión emocional también varía culturalmente. Antes de escribir “afecto inapropiado”, debe describirse qué ocurrió y considerar explicaciones alternativas.</w:t>
      </w:r>
    </w:p>
    <w:p>
      <w:r>
        <w:t>En Carolina podría registrarse: “Refiere ánimo deprimido la mayor parte de los días. Afecto de predominio triste y rango reducido, reactivo al hablar de vínculos significativos, congruente con los contenidos abordados”. Esta formulación separa experiencia y observación.</w:t>
      </w:r>
    </w:p>
    <w:p>
      <w:pPr>
        <w:pStyle w:val="Heading1"/>
      </w:pPr>
      <w:r>
        <w:t>Ansiedad, miedo y pánico</w:t>
      </w:r>
    </w:p>
    <w:p>
      <w:r>
        <w:t>La ansiedad es una respuesta anticipatoria frente a amenaza posible; el miedo se relaciona más directamente con una amenaza percibida como inmediata. Ambos pueden ser adaptativos, síntomas de múltiples trastornos o consecuencias de enfermedades y sustancias. Se exploran componentes cognitivos, autonómicos, motores y conductuales: preocupación, hipervigilancia, tensión, palpitaciones, disnea, temblor, evitación, comprobación y búsqueda de seguridad.</w:t>
      </w:r>
    </w:p>
    <w:p>
      <w:r>
        <w:t>Una crisis de pánico es un ascenso rápido de miedo o malestar intenso acompañado de síntomas físicos y cognitivos. Una crisis aislada no equivale a trastorno de pánico. Debe precisarse si fue inesperada o situacional, cuánto tardó en alcanzar el máximo, qué temió la persona, qué síntomas aparecieron y qué cambió después. La evitación persistente y el temor a nuevas crisis son relevantes para el diagnóstico longitudinal.</w:t>
      </w:r>
    </w:p>
    <w:p>
      <w:r>
        <w:t>Síntomas como dolor torácico, síncope, disnea, palpitaciones nuevas, focalidad neurológica o comienzo atípico no deben atribuirse automáticamente a ansiedad. Según la presentación se consideran arritmias, cardiopatía, hipertiroidismo, hipoglicemia, asma, epilepsia, sustancias, abstinencia y medicamentos. La coexistencia de ansiedad no excluye una enfermedad médica.</w:t>
      </w:r>
    </w:p>
    <w:p>
      <w:r>
        <w:t>La observación puede mostrar tensión, sobresalto, inquietud, respiración rápida o evitación del contacto, pero “se ve ansioso” no reemplaza la exploración de la experiencia. También importa lo que la persona hace para controlar el temor, porque las conductas de seguridad y evitación pueden mantener el problema.</w:t>
      </w:r>
    </w:p>
    <w:p>
      <w:pPr>
        <w:pStyle w:val="Heading1"/>
      </w:pPr>
      <w:r>
        <w:t>Placer, motivación, energía y velocidad</w:t>
      </w:r>
    </w:p>
    <w:p>
      <w:r>
        <w:rPr>
          <w:b/>
        </w:rPr>
        <w:t>Anhedonia</w:t>
      </w:r>
      <w:r>
        <w:t xml:space="preserve"> es la disminución del interés o del placer. Puede afectar la anticipación de una actividad, la experiencia durante ella o ambas. Se pregunta por conductas concretas y no sólo “¿disfruta las cosas?”. Algunas personas continúan actividades por deber sin obtener placer; otras conservan placer cuando logran iniciarlas.</w:t>
      </w:r>
    </w:p>
    <w:p>
      <w:r>
        <w:rPr>
          <w:b/>
        </w:rPr>
        <w:t>Apatía</w:t>
      </w:r>
      <w:r>
        <w:t xml:space="preserve"> es una reducción de motivación y conducta dirigida a metas, con componentes cognitivos, emocionales y conductuales. Puede aparecer en trastornos neurocognitivos, neurológicos, depresión, psicosis y por fármacos. </w:t>
      </w:r>
      <w:r>
        <w:rPr>
          <w:b/>
        </w:rPr>
        <w:t>Abulia</w:t>
      </w:r>
      <w:r>
        <w:t xml:space="preserve"> describe una disminución más intensa de iniciativa y voluntad. </w:t>
      </w:r>
      <w:r>
        <w:rPr>
          <w:b/>
        </w:rPr>
        <w:t>Avolición</w:t>
      </w:r>
      <w:r>
        <w:t>, usada con frecuencia en el contexto de síntomas negativos, alude a menor inicio y persistencia de actividades con propósito.</w:t>
      </w:r>
    </w:p>
    <w:p>
      <w:r>
        <w:rPr>
          <w:b/>
        </w:rPr>
        <w:t>Fatiga</w:t>
      </w:r>
      <w:r>
        <w:t xml:space="preserve"> es la vivencia de falta de energía o agotamiento. </w:t>
      </w:r>
      <w:r>
        <w:rPr>
          <w:b/>
        </w:rPr>
        <w:t>Enlentecimiento psicomotor</w:t>
      </w:r>
      <w:r>
        <w:t xml:space="preserve"> es una reducción observable de velocidad de movimiento, habla o respuesta. Una persona puede sentirse exhausta y, sin embargo, moverse con velocidad normal; otra puede mostrar marcada bradicinesia sin describir cansancio. La sedación farmacológica, enfermedad médica, privación de sueño y parkinsonismo deben considerarse.</w:t>
      </w:r>
    </w:p>
    <w:p>
      <w:r>
        <w:t>La conducta de Carolina aporta matices: le cuesta iniciar actividades y ha perdido placer, pero conserva capacidad de movilizarse por sus hijos. Esto no niega gravedad; muestra motivación modulada por contexto y un recurso protector. Describirlo es más útil que afirmar simplemente “abulia”.</w:t>
      </w:r>
    </w:p>
    <w:p>
      <w:pPr>
        <w:pStyle w:val="Heading1"/>
      </w:pPr>
      <w:r>
        <w:t>Impulsos, impulsividad y control conductual</w:t>
      </w:r>
    </w:p>
    <w:p>
      <w:r>
        <w:t>La impulsividad es una tendencia a actuar con poca deliberación ante estímulos internos o externos, pese a consecuencias posibles. Es dimensional y transdiagnóstica; puede intensificarse en manía, intoxicación, abstinencia, TDAH, trastornos de personalidad, lesión cerebral o crisis emocionales. No constituye por sí sola un diagnóstico ni un defecto moral.</w:t>
      </w:r>
    </w:p>
    <w:p>
      <w:r>
        <w:t>Se exploran conductas específicas: gastos, sexo, apuestas, alimentación, conducción, agresión, consumo, autolesión y decisiones laborales. Para cada una se precisan antecedente, urgencia interna, grado de planificación, posibilidad de detenerse, función buscada, consecuencias y arrepentimiento. Una conducta rápida puede ser impulsiva, pero también compulsiva, maníaca, intoxicada o instrumental. La autolesión, en particular, puede ser planificada o impulsiva y cumplir funciones distintas; su velocidad o superficialidad no permite deducir intención suicida.</w:t>
      </w:r>
    </w:p>
    <w:p>
      <w:r>
        <w:t xml:space="preserve">Una </w:t>
      </w:r>
      <w:r>
        <w:rPr>
          <w:b/>
        </w:rPr>
        <w:t>compulsión</w:t>
      </w:r>
      <w:r>
        <w:t xml:space="preserve"> es una conducta o acto mental repetitivo realizado para disminuir ansiedad o prevenir un resultado temido, habitualmente según reglas rígidas. Un </w:t>
      </w:r>
      <w:r>
        <w:rPr>
          <w:b/>
        </w:rPr>
        <w:t>impulso</w:t>
      </w:r>
      <w:r>
        <w:t xml:space="preserve"> puede sentirse como urgencia hacia una acción; su presencia no indica que la persona desee ejecutarla. Las ideas intrusivas egodistónicas de daño deben diferenciarse de intención, aunque siempre se caracterizan clínicamente.</w:t>
      </w:r>
    </w:p>
    <w:p>
      <w:r>
        <w:t>Cuando hay posibilidad de daño se pregunta por intención, planificación, acceso a medios, intoxicación, episodios previos, capacidad de inhibición y apoyos. El examen no predice el futuro con certeza, pero identifica variables modificables y decisiones inmediatas. Las etiquetas “impulsivo” o “mal control de impulsos” sin ejemplos son insuficientes.</w:t>
      </w:r>
    </w:p>
    <w:p>
      <w:pPr>
        <w:pStyle w:val="Heading1"/>
      </w:pPr>
      <w:r>
        <w:t>Sueño, apetito y sexualidad</w:t>
      </w:r>
    </w:p>
    <w:p>
      <w:r>
        <w:t>El sueño se explora por horario, latencia, despertares, despertar precoz, duración, calidad, siestas y somnolencia diurna. Dormir poco con cansancio es distinto de una menor necesidad de sueño sin fatiga, hallazgo de alto rendimiento para manía o hipomanía. Turnos, apnea, piernas inquietas, sustancias y fármacos pueden explicar o agravar el problema.</w:t>
      </w:r>
    </w:p>
    <w:p>
      <w:r>
        <w:t>Apetito, ingesta y peso no son equivalentes. Se pregunta por cambios objetivos, restricción, atracones, purgas y otras conductas compensatorias cuando corresponda. En sexualidad se exploran deseo, excitación, orgasmo, dolor, satisfacción, conductas de riesgo y posibles efectos farmacológicos, con lenguaje inclusivo y sólo en la profundidad pertinente.</w:t>
      </w:r>
    </w:p>
    <w:p>
      <w:pPr>
        <w:pStyle w:val="Heading1"/>
      </w:pPr>
      <w:r>
        <w:t>Errores frecuentes</w:t>
      </w:r>
    </w:p>
    <w:p>
      <w:pPr>
        <w:pStyle w:val="ListBullet"/>
      </w:pPr>
      <w:r>
        <w:t>Inferir ánimo deprimido únicamente porque la persona llora.</w:t>
      </w:r>
    </w:p>
    <w:p>
      <w:pPr>
        <w:pStyle w:val="ListBullet"/>
      </w:pPr>
      <w:r>
        <w:t>Llamar lábil a cualquier afecto intenso o variable.</w:t>
      </w:r>
    </w:p>
    <w:p>
      <w:pPr>
        <w:pStyle w:val="ListBullet"/>
      </w:pPr>
      <w:r>
        <w:t>Considerar patológica una sonrisa sin explorar ansiedad, vergüenza, cultura o contexto.</w:t>
      </w:r>
    </w:p>
    <w:p>
      <w:pPr>
        <w:pStyle w:val="ListBullet"/>
      </w:pPr>
      <w:r>
        <w:t>Equiparar crisis de pánico con trastorno de pánico y omitir causas médicas.</w:t>
      </w:r>
    </w:p>
    <w:p>
      <w:pPr>
        <w:pStyle w:val="ListBullet"/>
      </w:pPr>
      <w:r>
        <w:t>Usar anhedonia, apatía, abulia, fatiga y enlentecimiento como sinónimos.</w:t>
      </w:r>
    </w:p>
    <w:p>
      <w:pPr>
        <w:pStyle w:val="ListBullet"/>
      </w:pPr>
      <w:r>
        <w:t>Confundir insomnio con menor necesidad de dormir.</w:t>
      </w:r>
    </w:p>
    <w:p>
      <w:pPr>
        <w:pStyle w:val="ListBullet"/>
      </w:pPr>
      <w:r>
        <w:t>Registrar “mal control de impulsos” sin conductas, temporalidad ni consecuencias.</w:t>
      </w:r>
    </w:p>
    <w:p>
      <w:pPr>
        <w:pStyle w:val="Heading1"/>
      </w:pPr>
      <w:r>
        <w:t>Para recordar</w:t>
      </w:r>
    </w:p>
    <w:p>
      <w:pPr>
        <w:spacing w:after="60" w:line="288" w:lineRule="auto"/>
        <w:ind w:left="432" w:hanging="216"/>
        <w:shd w:fill="EAF6F3"/>
        <w:keepNext/>
        <w:keepLines/>
        <w:pBdr>
          <w:left w:val="single" w:sz="8" w:space="8" w:color="2A8C82"/>
        </w:pBdr>
      </w:pPr>
      <w:r>
        <w:t>1. El ánimo se investiga en el relato; el afecto se describe desde la observación.</w:t>
      </w:r>
    </w:p>
    <w:p>
      <w:pPr>
        <w:spacing w:after="60" w:line="288" w:lineRule="auto"/>
        <w:ind w:left="432" w:hanging="216"/>
        <w:shd w:fill="EAF6F3"/>
        <w:keepNext/>
        <w:keepLines/>
        <w:pBdr>
          <w:left w:val="single" w:sz="8" w:space="8" w:color="2A8C82"/>
        </w:pBdr>
      </w:pPr>
      <w:r>
        <w:t>2. Reactividad, rango y congruencia aportan más que la oposición “triste/no triste”.</w:t>
      </w:r>
    </w:p>
    <w:p>
      <w:pPr>
        <w:spacing w:after="60" w:line="288" w:lineRule="auto"/>
        <w:ind w:left="432" w:hanging="216"/>
        <w:shd w:fill="EAF6F3"/>
        <w:keepNext/>
        <w:keepLines/>
        <w:pBdr>
          <w:left w:val="single" w:sz="8" w:space="8" w:color="2A8C82"/>
        </w:pBdr>
      </w:pPr>
      <w:r>
        <w:t>3. La ansiedad es primero un fenómeno transdiagnóstico y requiere considerar causas médicas.</w:t>
      </w:r>
    </w:p>
    <w:p>
      <w:pPr>
        <w:spacing w:after="60" w:line="288" w:lineRule="auto"/>
        <w:ind w:left="432" w:hanging="216"/>
        <w:shd w:fill="EAF6F3"/>
        <w:keepNext/>
        <w:keepLines/>
        <w:pBdr>
          <w:left w:val="single" w:sz="8" w:space="8" w:color="2A8C82"/>
        </w:pBdr>
      </w:pPr>
      <w:r>
        <w:t>4. Placer, motivación, energía, velocidad e inhibición son dominios distintos.</w:t>
      </w:r>
    </w:p>
    <w:p>
      <w:pPr>
        <w:spacing w:after="60" w:line="288" w:lineRule="auto"/>
        <w:ind w:left="432" w:hanging="216"/>
        <w:shd w:fill="EAF6F3"/>
        <w:keepLines/>
        <w:pBdr>
          <w:left w:val="single" w:sz="8" w:space="8" w:color="2A8C82"/>
        </w:pBdr>
      </w:pPr>
      <w:r>
        <w:t>5. Toda variación adquiere sentido al compararla con el basal, el contexto y la conducta.</w:t>
      </w:r>
    </w:p>
    <w:p>
      <w:pPr>
        <w:pStyle w:val="Heading1"/>
      </w:pPr>
      <w:r>
        <w:t>Bibliografía esencial</w:t>
      </w:r>
    </w:p>
    <w:p>
      <w:pPr>
        <w:pStyle w:val="Bibliography"/>
      </w:pPr>
      <w:r>
        <w:t xml:space="preserve">• Oyebode F. </w:t>
      </w:r>
      <w:r>
        <w:rPr>
          <w:i/>
        </w:rPr>
        <w:t>Sims’ Symptoms in the Mind: Textbook of Descriptive Psychopathology</w:t>
      </w:r>
      <w:r>
        <w:t>. 7th ed. Elsevier; 2022.</w:t>
      </w:r>
    </w:p>
    <w:p>
      <w:pPr>
        <w:pStyle w:val="Bibliography"/>
      </w:pPr>
      <w:r>
        <w:t xml:space="preserve">• Casey P, Kelly B. </w:t>
      </w:r>
      <w:r>
        <w:rPr>
          <w:i/>
        </w:rPr>
        <w:t>Fish’s Clinical Psychopathology: Signs and Symptoms in Psychiatry</w:t>
      </w:r>
      <w:r>
        <w:t>. 4th ed. Cambridge University Press; 2019.</w:t>
      </w:r>
    </w:p>
    <w:p>
      <w:pPr>
        <w:pStyle w:val="Bibliography"/>
      </w:pPr>
      <w:r>
        <w:t xml:space="preserve">• Trzepacz PT, Baker RW. </w:t>
      </w:r>
      <w:r>
        <w:rPr>
          <w:i/>
        </w:rPr>
        <w:t>The Psychiatric Mental Status Examination</w:t>
      </w:r>
      <w:r>
        <w:t>. Oxford University Press; 1993.</w:t>
      </w:r>
    </w:p>
    <w:p>
      <w:pPr>
        <w:pStyle w:val="Bibliography"/>
      </w:pPr>
      <w:r>
        <w:t xml:space="preserve">• American Psychiatric Association. </w:t>
      </w:r>
      <w:r>
        <w:rPr>
          <w:i/>
        </w:rPr>
        <w:t>Diagnostic and Statistical Manual of Mental Disorders: DSM-5-TR</w:t>
      </w:r>
      <w:r>
        <w:t>. American Psychiatric Association Publishing; 2022.</w:t>
      </w:r>
    </w:p>
    <w:p>
      <w:pPr>
        <w:pStyle w:val="Bibliography"/>
      </w:pPr>
      <w:r>
        <w:t xml:space="preserve">• World Health Organization. </w:t>
      </w:r>
      <w:r>
        <w:rPr>
          <w:i/>
        </w:rPr>
        <w:t>Clinical Descriptions and Diagnostic Requirements for ICD-11 Mental, Behavioural and Neurodevelopmental Disorders</w:t>
      </w:r>
      <w:r>
        <w:t xml:space="preserve">. World Health Organization; 2024. </w:t>
      </w:r>
      <w:hyperlink r:id="rId14">
        <w:r>
          <w:rPr>
            <w:color w:val="246B8E"/>
            <w:u w:val="single"/>
          </w:rPr>
          <w:t>Publicación oficial</w:t>
        </w:r>
      </w:hyperlink>
      <w:r>
        <w:t>.</w:t>
      </w:r>
    </w:p>
    <w:p>
      <w:r>
        <w:br w:type="page"/>
      </w:r>
    </w:p>
    <w:p>
      <w:pPr>
        <w:spacing w:after="480"/>
      </w:pPr>
      <w:r>
        <w:rPr>
          <w:rFonts w:ascii="Calibri" w:hAnsi="Calibri"/>
          <w:b/>
          <w:color w:val="2A8C82"/>
          <w:sz w:val="20"/>
        </w:rPr>
        <w:t>CAPÍTULO 06 · MATERIAL PARA ESTUDIANTES</w:t>
      </w:r>
    </w:p>
    <w:tbl>
      <w:tblPr>
        <w:tblW w:type="auto" w:w="0"/>
        <w:jc w:val="left"/>
        <w:tblLayout w:type="fixed"/>
        <w:tblLook w:firstColumn="1" w:firstRow="1" w:lastColumn="0" w:lastRow="0" w:noHBand="0" w:noVBand="1" w:val="04A0"/>
      </w:tblPr>
      <w:tblGrid>
        <w:gridCol w:w="9648"/>
      </w:tblGrid>
      <w:tr>
        <w:trPr>
          <w:tblHeader w:val="true"/>
        </w:trPr>
        <w:tc>
          <w:tcPr>
            <w:tcW w:type="dxa" w:w="9072"/>
            <w:shd w:fill="173A5E"/>
            <w:tcMar>
              <w:top w:w="120" w:type="dxa"/>
              <w:start w:w="220" w:type="dxa"/>
              <w:bottom w:w="120" w:type="dxa"/>
              <w:end w:w="220" w:type="dxa"/>
            </w:tcMar>
          </w:tcPr>
          <w:p>
            <w:pPr>
              <w:spacing w:after="0"/>
            </w:pPr>
            <w:r>
              <w:rPr>
                <w:rFonts w:ascii="Calibri" w:hAnsi="Calibri"/>
                <w:b/>
                <w:color w:val="FFFFFF"/>
                <w:sz w:val="19"/>
              </w:rPr>
              <w:t>MÓDULO I · ENTREVISTA, EXAMEN MENTAL Y RAZONAMIENTO CLÍNICO</w:t>
            </w:r>
          </w:p>
        </w:tc>
      </w:tr>
    </w:tbl>
    <w:p>
      <w:pPr>
        <w:pStyle w:val="Title"/>
        <w:spacing w:before="520" w:after="360"/>
        <w:outlineLvl w:val="0"/>
      </w:pPr>
      <w:bookmarkStart w:id="1006" w:name="chapter_06"/>
      <w:r>
        <w:t>Examen mental III: forma y contenido del pensamiento</w:t>
      </w:r>
      <w:bookmarkEnd w:id="1006"/>
    </w:p>
    <w:p>
      <w:pPr>
        <w:spacing w:after="80"/>
      </w:pPr>
      <w:r>
        <w:rPr>
          <w:rFonts w:ascii="Calibri" w:hAnsi="Calibri"/>
          <w:b/>
          <w:color w:val="246B8E"/>
          <w:sz w:val="26"/>
        </w:rPr>
        <w:t>Programa de Psiquiatría para internos de Medicina</w:t>
      </w:r>
    </w:p>
    <w:p>
      <w:r>
        <w:rPr>
          <w:rFonts w:ascii="Calibri" w:hAnsi="Calibri"/>
          <w:color w:val="6B7280"/>
          <w:sz w:val="22"/>
        </w:rPr>
        <w:t>Lectura complementaria · Chile · Versión final para revisión humana · 2026</w:t>
      </w:r>
    </w:p>
    <w:p/>
    <w:p/>
    <w:p/>
    <w:p/>
    <w:p/>
    <w:tbl>
      <w:tblPr>
        <w:tblW w:type="auto" w:w="0"/>
        <w:jc w:val="left"/>
        <w:tblLayout w:type="fixed"/>
        <w:tblLook w:firstColumn="1" w:firstRow="1" w:lastColumn="0" w:lastRow="0" w:noHBand="0" w:noVBand="1" w:val="04A0"/>
      </w:tblPr>
      <w:tblGrid>
        <w:gridCol w:w="9648"/>
      </w:tblGrid>
      <w:tr>
        <w:trPr>
          <w:tblHeader w:val="true"/>
        </w:trPr>
        <w:tc>
          <w:tcPr>
            <w:tcW w:type="dxa" w:w="9648"/>
            <w:shd w:fill="F3F5F6"/>
            <w:tcBorders>
              <w:start w:val="single" w:sz="18" w:color="2A8C82"/>
            </w:tcBorders>
            <w:tcMar>
              <w:top w:w="160" w:type="dxa"/>
              <w:start w:w="220" w:type="dxa"/>
              <w:bottom w:w="160" w:type="dxa"/>
              <w:end w:w="220" w:type="dxa"/>
            </w:tcMar>
          </w:tcPr>
          <w:p>
            <w:pPr>
              <w:spacing w:after="0"/>
            </w:pPr>
            <w:r>
              <w:rPr>
                <w:rFonts w:ascii="Calibri" w:hAnsi="Calibri"/>
                <w:i/>
                <w:color w:val="6B7280"/>
                <w:sz w:val="18"/>
              </w:rPr>
              <w:t>Versión docente final para revisión humana. Material propuesto y contextualizado a Chile; no corresponde a un programa oficial de la Pontificia Universidad Católica de Chile ni sustituye protocolos locales, supervisión clínica o evaluación especializada. Fuentes revisadas al 15 de agosto de 2026.</w:t>
            </w:r>
          </w:p>
        </w:tc>
      </w:tr>
    </w:tbl>
    <w:p>
      <w:r>
        <w:br w:type="page"/>
      </w:r>
    </w:p>
    <w:tbl>
      <w:tblPr>
        <w:tblW w:type="auto" w:w="0"/>
        <w:jc w:val="center"/>
        <w:tblLayout w:type="autofit"/>
        <w:tblLook w:firstColumn="1" w:firstRow="1" w:lastColumn="0" w:lastRow="0" w:noHBand="0" w:noVBand="1" w:val="04A0"/>
      </w:tblPr>
      <w:tblGrid>
        <w:gridCol w:w="9648"/>
      </w:tblGrid>
      <w:tr>
        <w:trPr>
          <w:tblHeader w:val="true"/>
        </w:trPr>
        <w:tc>
          <w:tcPr>
            <w:tcW w:type="dxa" w:w="9648"/>
            <w:vAlign w:val="center"/>
            <w:shd w:fill="EAF3F7"/>
            <w:tcBorders>
              <w:start w:val="single" w:sz="14" w:color="2A8C82"/>
            </w:tcBorders>
            <w:tcMar>
              <w:top w:w="130" w:type="dxa"/>
              <w:start w:w="190" w:type="dxa"/>
              <w:bottom w:w="130" w:type="dxa"/>
              <w:end w:w="190" w:type="dxa"/>
            </w:tcMar>
          </w:tcPr>
          <w:p>
            <w:pPr>
              <w:spacing w:after="0"/>
            </w:pPr>
            <w:r>
              <w:rPr>
                <w:b/>
                <w:color w:val="173A5E"/>
              </w:rPr>
              <w:t xml:space="preserve">PREGUNTA CLÍNICA  </w:t>
            </w:r>
            <w:r>
              <w:t>¿Cómo describir una alteración del pensamiento sin confundir un discurso poco habitual, una creencia intensa, una obsesión y un delirio?</w:t>
            </w:r>
          </w:p>
        </w:tc>
      </w:tr>
    </w:tbl>
    <w:p>
      <w:pPr>
        <w:spacing w:after="0"/>
      </w:pPr>
    </w:p>
    <w:tbl>
      <w:tblPr>
        <w:tblW w:type="auto" w:w="0"/>
        <w:jc w:val="center"/>
        <w:tblLayout w:type="autofit"/>
        <w:tblLook w:firstColumn="1" w:firstRow="1" w:lastColumn="0" w:lastRow="0" w:noHBand="0" w:noVBand="1" w:val="04A0"/>
      </w:tblPr>
      <w:tblGrid>
        <w:gridCol w:w="9648"/>
      </w:tblGrid>
      <w:tr>
        <w:trPr>
          <w:tblHeader w:val="true"/>
        </w:trPr>
        <w:tc>
          <w:tcPr>
            <w:tcW w:type="dxa" w:w="9648"/>
            <w:vAlign w:val="center"/>
            <w:shd w:fill="EAF6F3"/>
            <w:tcBorders>
              <w:start w:val="single" w:sz="14" w:color="2A8C82"/>
            </w:tcBorders>
            <w:tcMar>
              <w:top w:w="130" w:type="dxa"/>
              <w:start w:w="190" w:type="dxa"/>
              <w:bottom w:w="130" w:type="dxa"/>
              <w:end w:w="190" w:type="dxa"/>
            </w:tcMar>
          </w:tcPr>
          <w:p>
            <w:pPr>
              <w:spacing w:after="0"/>
            </w:pPr>
            <w:r>
              <w:rPr>
                <w:b/>
                <w:color w:val="173A5E"/>
              </w:rPr>
              <w:t xml:space="preserve">IDEA CENTRAL  </w:t>
            </w:r>
            <w:r>
              <w:t>El pensamiento no se observa directamente: se infiere del discurso, la escritura y la conducta. Por eso, una descripción válida debe separar velocidad, continuidad, organización y dirección del pensamiento de las ideas que lo ocupan, y conservar explícita la incertidumbre.</w:t>
            </w:r>
          </w:p>
        </w:tc>
      </w:tr>
    </w:tbl>
    <w:p>
      <w:pPr>
        <w:spacing w:after="0"/>
      </w:pPr>
    </w:p>
    <w:p>
      <w:pPr>
        <w:pStyle w:val="Heading1"/>
      </w:pPr>
      <w:r>
        <w:t>Por qué importa</w:t>
      </w:r>
    </w:p>
    <w:p>
      <w:r>
        <w:t>En la práctica clínica, expresiones como “pensamiento desorganizado”, “ideas raras” o “contenido paranoide” suelen condensar demasiadas inferencias y muy pocos datos. Ese lenguaje dificulta el diagnóstico diferencial, amplifica el estigma y puede inducir decisiones desproporcionadas. Una persona ansiosa puede responder tangencialmente; una afasia puede parecer incoherencia; una obsesión agresiva puede confundirse con intención homicida; una sospecha plausible puede registrarse erróneamente como delirio.</w:t>
      </w:r>
    </w:p>
    <w:p>
      <w:r>
        <w:t>El examen del pensamiento exige dos movimientos. Primero, describir el fenómeno mediante ejemplos y su contexto. Segundo, proponer con prudencia el término psicopatológico que mejor lo representa. La etiqueta nunca sustituye al material clínico que la justifica.</w:t>
      </w:r>
    </w:p>
    <w:p>
      <w:pPr>
        <w:pStyle w:val="Heading1"/>
      </w:pPr>
      <w:r>
        <w:t>Objetivos de aprendizaje</w:t>
      </w:r>
    </w:p>
    <w:p>
      <w:pPr>
        <w:keepNext/>
      </w:pPr>
      <w:r>
        <w:t>Al finalizar este capítulo, el estudiante podrá:</w:t>
      </w:r>
    </w:p>
    <w:p>
      <w:pPr>
        <w:spacing w:after="60" w:line="288" w:lineRule="auto"/>
        <w:ind w:left="432" w:hanging="216"/>
      </w:pPr>
      <w:r>
        <w:t>1. Diferenciar curso o flujo, organización formal y contenido del pensamiento.</w:t>
      </w:r>
    </w:p>
    <w:p>
      <w:pPr>
        <w:spacing w:after="60" w:line="288" w:lineRule="auto"/>
        <w:ind w:left="432" w:hanging="216"/>
      </w:pPr>
      <w:r>
        <w:t>2. Reconocer alteraciones de velocidad, continuidad, asociación y direccionalidad.</w:t>
      </w:r>
    </w:p>
    <w:p>
      <w:pPr>
        <w:spacing w:after="60" w:line="288" w:lineRule="auto"/>
        <w:ind w:left="432" w:hanging="216"/>
      </w:pPr>
      <w:r>
        <w:t>3. Caracterizar una idea delirante de manera dimensional y culturalmente informada.</w:t>
      </w:r>
    </w:p>
    <w:p>
      <w:pPr>
        <w:spacing w:after="60" w:line="288" w:lineRule="auto"/>
        <w:ind w:left="432" w:hanging="216"/>
      </w:pPr>
      <w:r>
        <w:t>4. Distinguir inicialmente delirio, obsesión, idea sobrevalorada, preocupación y rumiación.</w:t>
      </w:r>
    </w:p>
    <w:p>
      <w:pPr>
        <w:spacing w:after="60" w:line="288" w:lineRule="auto"/>
        <w:ind w:left="432" w:hanging="216"/>
      </w:pPr>
      <w:r>
        <w:t>5. Explorar fenómenos de pasividad y alteración de la pertenencia del pensamiento sin preguntas inductivas.</w:t>
      </w:r>
    </w:p>
    <w:p>
      <w:pPr>
        <w:spacing w:after="60" w:line="288" w:lineRule="auto"/>
        <w:ind w:left="432" w:hanging="216"/>
      </w:pPr>
      <w:r>
        <w:t>6. Evaluar de forma directa ideas de muerte, suicidio y daño a terceros.</w:t>
      </w:r>
    </w:p>
    <w:p>
      <w:pPr>
        <w:spacing w:after="60" w:line="288" w:lineRule="auto"/>
        <w:ind w:left="432" w:hanging="216"/>
      </w:pPr>
      <w:r>
        <w:t>7. Redactar hallazgos observables, evitando convertir una inferencia en un hecho.</w:t>
      </w:r>
    </w:p>
    <w:p>
      <w:pPr>
        <w:pStyle w:val="Heading1"/>
      </w:pPr>
      <w:r>
        <w:t>Caso clínico</w:t>
      </w:r>
    </w:p>
    <w:p>
      <w:pPr>
        <w:shd w:fill="EAF3F7"/>
        <w:keepNext/>
        <w:keepLines/>
        <w:pBdr>
          <w:left w:val="single" w:sz="8" w:space="8" w:color="246B8E"/>
        </w:pBdr>
        <w:ind w:left="173" w:right="86"/>
      </w:pPr>
      <w:r>
        <w:t>Javier, de 46 años, consulta porque sus vecinos “envían señales” mediante la red eléctrica. Explica la situación con muchos detalles, deriva hacia antiguos conflictos laborales y finalmente vuelve a la pregunta. Sostiene su explicación con alta convicción y ha comenzado a desconectar aparatos durante la noche. También refiere imágenes repetitivas de empujar a su hija al andén del Metro. Estas imágenes le producen horror; evita viajar con ella y revisa mentalmente una y otra vez que jamás lo haría.</w:t>
      </w:r>
    </w:p>
    <w:p>
      <w:pPr>
        <w:shd w:fill="EAF3F7"/>
        <w:keepLines/>
        <w:pBdr>
          <w:left w:val="single" w:sz="8" w:space="8" w:color="246B8E"/>
        </w:pBdr>
        <w:ind w:left="173" w:right="86"/>
      </w:pPr>
      <w:r>
        <w:t>La entrevista plantea tres problemas distintos: el recorrido discursivo, la convicción persecutoria y un contenido agresivo intrusivo. Reunirlos bajo la frase “pensamiento psicótico con ideas homicidas” sería clínica y fenomenológicamente incorrecto.</w:t>
      </w:r>
    </w:p>
    <w:p>
      <w:pPr>
        <w:pStyle w:val="Heading1"/>
      </w:pPr>
      <w:r>
        <w:t>El pensamiento se infiere, no se ve</w:t>
      </w:r>
    </w:p>
    <w:p>
      <w:r>
        <w:t xml:space="preserve">Conviene distinguir tres dominios relacionados. El </w:t>
      </w:r>
      <w:r>
        <w:rPr>
          <w:b/>
        </w:rPr>
        <w:t>curso o flujo</w:t>
      </w:r>
      <w:r>
        <w:t xml:space="preserve"> incluye velocidad y continuidad. La </w:t>
      </w:r>
      <w:r>
        <w:rPr>
          <w:b/>
        </w:rPr>
        <w:t>forma u organización</w:t>
      </w:r>
      <w:r>
        <w:t xml:space="preserve"> alude a cómo se conectan las ideas y si el discurso mantiene una dirección comprensible hacia una meta. El </w:t>
      </w:r>
      <w:r>
        <w:rPr>
          <w:b/>
        </w:rPr>
        <w:t>contenido</w:t>
      </w:r>
      <w:r>
        <w:t xml:space="preserve"> corresponde a las preocupaciones, creencias, imágenes, impulsos e intenciones que ocupan la mente. El lenguaje es el vehículo principal para examinarlos, pero no es equivalente al pensamiento: una alteración del habla, una barrera idiomática, baja escolaridad, neurodivergencia, sordera, ansiedad intensa o diferencias culturales pueden modificar el discurso sin constituir un trastorno formal del pensamiento.</w:t>
      </w:r>
    </w:p>
    <w:p>
      <w:r>
        <w:t>La presión del habla es observable; la taquipsiquia es una inferencia sobre aceleración del pensamiento. Del mismo modo, una pausa no basta para diagnosticar bloqueo. Antes de asignar un término se debe registrar qué hizo la persona: “interrumpe bruscamente una frase, queda en silencio y refiere que la idea desapareció” informa más que “presenta bloqueo”.</w:t>
      </w:r>
    </w:p>
    <w:p>
      <w:r>
        <w:t>La comparación con el funcionamiento basal y la observación longitudinal son decisivas. Un estilo narrativo prolijo de toda la vida tiene otro significado que una pérdida reciente y marcada de coherencia.</w:t>
      </w:r>
    </w:p>
    <w:p>
      <w:pPr>
        <w:pStyle w:val="Heading1"/>
      </w:pPr>
      <w:r>
        <w:t>Curso, asociaciones y direccionalidad</w:t>
      </w:r>
    </w:p>
    <w:p>
      <w:r>
        <w:t xml:space="preserve">La </w:t>
      </w:r>
      <w:r>
        <w:rPr>
          <w:b/>
        </w:rPr>
        <w:t>taquipsiquia</w:t>
      </w:r>
      <w:r>
        <w:t xml:space="preserve"> describe aceleración global, frecuente en manía, ansiedad intensa o intoxicación por estimulantes. La </w:t>
      </w:r>
      <w:r>
        <w:rPr>
          <w:b/>
        </w:rPr>
        <w:t>bradipsiquia</w:t>
      </w:r>
      <w:r>
        <w:t xml:space="preserve"> corresponde a enlentecimiento, posible en depresión grave, trastornos neurológicos, sedación o delirium hipoactivo. No deben deducirse sólo del número de palabras por minuto.</w:t>
      </w:r>
    </w:p>
    <w:p>
      <w:r>
        <w:t xml:space="preserve">En la </w:t>
      </w:r>
      <w:r>
        <w:rPr>
          <w:b/>
        </w:rPr>
        <w:t>fuga de ideas</w:t>
      </w:r>
      <w:r>
        <w:t xml:space="preserve">, el discurso es rápido, cambia de tema y las asociaciones suelen poder seguirse —por significado, contraste, estímulos ambientales o sonido—, aunque la meta se desplaza constantemente. Es característica de cuadros maniformes, pero no exclusiva. La </w:t>
      </w:r>
      <w:r>
        <w:rPr>
          <w:b/>
        </w:rPr>
        <w:t>circunstancialidad</w:t>
      </w:r>
      <w:r>
        <w:t xml:space="preserve"> añade detalles secundarios y rodeos, pero alcanza finalmente el punto. En la </w:t>
      </w:r>
      <w:r>
        <w:rPr>
          <w:b/>
        </w:rPr>
        <w:t>tangencialidad</w:t>
      </w:r>
      <w:r>
        <w:t>, la respuesta se desvía y no resuelve la pregunta. Esta distinción depende de la meta concreta de la conversación, no de que el entrevistador encuentre aburrido el relato.</w:t>
      </w:r>
    </w:p>
    <w:p>
      <w:r>
        <w:t xml:space="preserve">El </w:t>
      </w:r>
      <w:r>
        <w:rPr>
          <w:b/>
        </w:rPr>
        <w:t>descarrilamiento</w:t>
      </w:r>
      <w:r>
        <w:t xml:space="preserve"> o pérdida de asociaciones consiste en desplazamientos cuyo vínculo resulta débil o no comprensible. La </w:t>
      </w:r>
      <w:r>
        <w:rPr>
          <w:b/>
        </w:rPr>
        <w:t>incoherencia</w:t>
      </w:r>
      <w:r>
        <w:t xml:space="preserve"> representa un grado mayor de desorganización, con discurso globalmente difícil de entender. Las asociaciones por sonido o </w:t>
      </w:r>
      <w:r>
        <w:rPr>
          <w:i/>
        </w:rPr>
        <w:t>clang</w:t>
      </w:r>
      <w:r>
        <w:t>, los neologismos idiosincráticos y el uso marcadamente concreto del lenguaje pueden acompañar una desorganización, pero ninguno diagnostica por sí solo esquizofrenia. El neologismo debe diferenciarse de modismos, errores lingüísticos y términos propios de una comunidad.</w:t>
      </w:r>
    </w:p>
    <w:p>
      <w:r>
        <w:t xml:space="preserve">El </w:t>
      </w:r>
      <w:r>
        <w:rPr>
          <w:b/>
        </w:rPr>
        <w:t>bloqueo</w:t>
      </w:r>
      <w:r>
        <w:t xml:space="preserve"> es una interrupción súbita del curso; se diferencia de la latencia prolongada, distracción, ausencia epiléptica o dificultad para encontrar palabras. La </w:t>
      </w:r>
      <w:r>
        <w:rPr>
          <w:b/>
        </w:rPr>
        <w:t>perseveración</w:t>
      </w:r>
      <w:r>
        <w:t xml:space="preserve"> es la repetición inapropiada de una respuesta o estrategia pese a que la pregunta o tarea cambió, y puede indicar alteración ejecutiva además de presentarse en cuadros psiquiátricos.</w:t>
      </w:r>
    </w:p>
    <w:p>
      <w:pPr>
        <w:pStyle w:val="Heading1"/>
      </w:pPr>
      <w:r>
        <w:t>Creencias delirantes: evaluación dimensional y contextual</w:t>
      </w:r>
    </w:p>
    <w:p>
      <w:r>
        <w:t>Una idea delirante es una creencia sostenida con elevada convicción, insuficientemente modificable por evidencia o argumentación, y no explicada por el contexto cultural o religioso compartido. Esta definición es orientadora, no una prueba mecánica de tres casillas. La falsedad objetiva puede ser imposible de demostrar; algunas creencias delirantes son posibles, y una creencia falsa puede provenir de desinformación sin ser delirante.</w:t>
      </w:r>
    </w:p>
    <w:p>
      <w:r>
        <w:t>La evaluación debe explorar al menos: contenido; grado de convicción; preocupación y tiempo ocupado; apertura a alternativas; emoción asociada; interferencia funcional; conductas derivadas; contexto cultural; relación con el estado de ánimo; y evolución temporal. El riesgo depende más de las consecuencias —por ejemplo, confrontar al supuesto perseguidor, huir o dejar de comer— que de lo extravagante del contenido.</w:t>
      </w:r>
    </w:p>
    <w:p>
      <w:r>
        <w:t>Los contenidos más frecuentes incluyen persecución, referencia, grandeza, culpa, ruina, celos, erotomanía, preocupaciones somáticas, nihilismo y control. Una idea de referencia es la impresión de que un hecho neutro se relaciona especialmente con uno; se habla de delirio de referencia cuando esa interpretación adquiere convicción y estructura delirantes. La congruencia con el ánimo ayuda a formular el caso, pero no determina por sí sola el diagnóstico. La distinción clásica entre delirios “primarios” y “secundarios” tiene valor histórico y descriptivo limitado; no debe presentarse como una prueba etiológica.</w:t>
      </w:r>
    </w:p>
    <w:p>
      <w:r>
        <w:t>También se exploran experiencias de pérdida de pertenencia o control del pensamiento: inserción, retiro o difusión del pensamiento, y vivencias de actos o afectos impuestos. Se pregunta de modo abierto —“¿ha sentido que sus pensamientos dejan de ser completamente propios?”— y se solicita un ejemplo. Una respuesta afirmativa ambigua no basta para registrar un fenómeno de pasividad.</w:t>
      </w:r>
    </w:p>
    <w:p>
      <w:r>
        <w:t>La entrevista no busca derrotar la creencia. Es posible validar el miedo o sufrimiento sin confirmar el mecanismo: “Entiendo que esto le resulta amenazante; yo no puedo comprobar que sus vecinos controlen la electricidad, pero quiero comprender qué ocurre y ayudarle a estar seguro”.</w:t>
      </w:r>
    </w:p>
    <w:p>
      <w:pPr>
        <w:pStyle w:val="Heading1"/>
      </w:pPr>
      <w:r>
        <w:t>Obsesión, idea sobrevalorada, rumiación y preocupación</w:t>
      </w:r>
    </w:p>
    <w:p>
      <w:r>
        <w:t xml:space="preserve">Las </w:t>
      </w:r>
      <w:r>
        <w:rPr>
          <w:b/>
        </w:rPr>
        <w:t>obsesiones</w:t>
      </w:r>
      <w:r>
        <w:t xml:space="preserve"> son pensamientos, imágenes o impulsos recurrentes e intrusivos, habitualmente no deseados, que generan ansiedad o malestar. La persona puede intentar suprimirlos o neutralizarlos mediante conductas o rituales mentales. La egodistonía y el insight son frecuentes, pero variables: el trastorno obsesivo-compulsivo puede presentarse con insight pobre e incluso con ausencia de insight. Por tanto, la distinción respecto del delirio requiere examinar intrusión, resistencia, neutralización, historia longitudinal y organización global, no sólo preguntar “¿sabe que es absurdo?”.</w:t>
      </w:r>
    </w:p>
    <w:p>
      <w:r>
        <w:t xml:space="preserve">Una </w:t>
      </w:r>
      <w:r>
        <w:rPr>
          <w:b/>
        </w:rPr>
        <w:t>idea sobrevalorada</w:t>
      </w:r>
      <w:r>
        <w:t xml:space="preserve"> es una convicción dominante, afectivamente cargada y comprensible dentro de la biografía, que organiza la conducta de manera desproporcionada. Sus límites con el delirio pueden ser graduales. La </w:t>
      </w:r>
      <w:r>
        <w:rPr>
          <w:b/>
        </w:rPr>
        <w:t>rumiación</w:t>
      </w:r>
      <w:r>
        <w:t xml:space="preserve"> consiste en pensamiento repetitivo, generalmente pasivo, sobre causas, significado o consecuencias de un malestar pasado o presente. La </w:t>
      </w:r>
      <w:r>
        <w:rPr>
          <w:b/>
        </w:rPr>
        <w:t>preocupación</w:t>
      </w:r>
      <w:r>
        <w:t xml:space="preserve"> suele orientarse verbalmente hacia amenazas futuras. Ninguna de estas categorías es sinónimo de “pensar mucho”.</w:t>
      </w:r>
    </w:p>
    <w:p>
      <w:r>
        <w:t>En Javier, las imágenes de empujar a su hija son intrusivas, temidas, resistidas y seguidas de evitación y comprobación mental. Estos datos apoyan una obsesión agresiva, no un deseo de actuar. Aun así, corresponde preguntar de forma separada por intención, control conductual y antecedentes: el nombre del contenido no exime de evaluar seguridad.</w:t>
      </w:r>
    </w:p>
    <w:p>
      <w:pPr>
        <w:pStyle w:val="Heading1"/>
      </w:pPr>
      <w:r>
        <w:t>Contenidos de muerte, suicidio y daño a terceros</w:t>
      </w:r>
    </w:p>
    <w:p>
      <w:r>
        <w:t>Los contenidos depresivos abarcan minusvalía, culpa, desesperanza, ruina y nihilismo. Debe distinguirse culpa proporcional, culpa excesiva y culpa de intensidad delirante. La exploración suicida avanza desde el deseo de no despertar y la ideación pasiva de muerte hacia ideas suicidas, intención, métodos considerados, plan, preparativos y acceso a medios. Se agregan episodios previos, intoxicación, agitación, razones para vivir, capacidad de solicitar ayuda y cambios recientes. Preguntar directamente no “implanta” la idea.</w:t>
      </w:r>
    </w:p>
    <w:p>
      <w:r>
        <w:t>Ante pensamientos de dañar a terceros se caracteriza quién podría ser afectado, intención, planificación, acceso a armas u otros medios, intoxicación, delirios o voces de mandato, historia de violencia y control actual. Una fantasía, una obsesión egodistónica, una amenaza instrumental y una intención homicida son fenómenos diferentes. El registro debe mostrar cuál se observó y qué incertidumbre persiste.</w:t>
      </w:r>
    </w:p>
    <w:p>
      <w:pPr>
        <w:pStyle w:val="Heading1"/>
      </w:pPr>
      <w:r>
        <w:t>Cómo redactar el hallazgo</w:t>
      </w:r>
    </w:p>
    <w:p>
      <w:r>
        <w:t>Una redacción útil combina descripción e interpretación: “Discurso de velocidad habitual; respuestas extensas con detalles secundarios, pero alcanza la meta. Refiere convicción persecutoria de que vecinos transmiten señales eléctricas, sin considerar explicaciones alternativas, con desconexión nocturna de aparatos. Refiere además imágenes intrusivas y egodistónicas de dañar a su hija, sin deseo ni plan, que neutraliza mediante evitación y revisión mental”.</w:t>
      </w:r>
    </w:p>
    <w:p>
      <w:r>
        <w:t>Esto permite que otro clínico evalúe el razonamiento. “Pensamiento psicótico, obsesivo y homicida” no lo permite.</w:t>
      </w:r>
    </w:p>
    <w:p>
      <w:pPr>
        <w:pStyle w:val="Heading1"/>
      </w:pPr>
      <w:r>
        <w:t>Errores frecuentes</w:t>
      </w:r>
    </w:p>
    <w:p>
      <w:pPr>
        <w:pStyle w:val="ListBullet"/>
      </w:pPr>
      <w:r>
        <w:t>Confundir habla rápida con fuga de ideas o una narración detallada con tangencialidad.</w:t>
      </w:r>
    </w:p>
    <w:p>
      <w:pPr>
        <w:pStyle w:val="ListBullet"/>
      </w:pPr>
      <w:r>
        <w:t>Diagnosticar trastorno formal sin considerar afasia, idioma, escolaridad, cultura, ansiedad o neurocognición.</w:t>
      </w:r>
    </w:p>
    <w:p>
      <w:pPr>
        <w:pStyle w:val="ListBullet"/>
      </w:pPr>
      <w:r>
        <w:t>Definir el delirio sólo como una idea “falsa e incorregible”.</w:t>
      </w:r>
    </w:p>
    <w:p>
      <w:pPr>
        <w:pStyle w:val="ListBullet"/>
      </w:pPr>
      <w:r>
        <w:t>Patologizar convicciones religiosas, políticas o comunitarias sin estudiar su contexto compartido.</w:t>
      </w:r>
    </w:p>
    <w:p>
      <w:pPr>
        <w:pStyle w:val="ListBullet"/>
      </w:pPr>
      <w:r>
        <w:t>Usar “paranoide” sin precisar si existe temor, suspicacia, idea de referencia o delirio persecutorio.</w:t>
      </w:r>
    </w:p>
    <w:p>
      <w:pPr>
        <w:pStyle w:val="ListBullet"/>
      </w:pPr>
      <w:r>
        <w:t>Confirmar una explicación delirante para demostrar empatía.</w:t>
      </w:r>
    </w:p>
    <w:p>
      <w:pPr>
        <w:pStyle w:val="ListBullet"/>
      </w:pPr>
      <w:r>
        <w:t>Equiparar una obsesión agresiva con intención de violencia.</w:t>
      </w:r>
    </w:p>
    <w:p>
      <w:pPr>
        <w:pStyle w:val="ListBullet"/>
      </w:pPr>
      <w:r>
        <w:t>Registrar “niega suicidalidad” sin distinguir muerte pasiva, ideación, intención, plan y preparativos.</w:t>
      </w:r>
    </w:p>
    <w:p>
      <w:pPr>
        <w:pStyle w:val="Heading1"/>
      </w:pPr>
      <w:r>
        <w:t>Para recordar</w:t>
      </w:r>
    </w:p>
    <w:p>
      <w:pPr>
        <w:spacing w:after="60" w:line="288" w:lineRule="auto"/>
        <w:ind w:left="432" w:hanging="216"/>
        <w:shd w:fill="EAF6F3"/>
        <w:keepNext/>
        <w:keepLines/>
        <w:pBdr>
          <w:left w:val="single" w:sz="8" w:space="8" w:color="2A8C82"/>
        </w:pBdr>
      </w:pPr>
      <w:r>
        <w:t>1. La forma del pensamiento debe demostrarse con el discurso; el diagnóstico previo no la autoriza.</w:t>
      </w:r>
    </w:p>
    <w:p>
      <w:pPr>
        <w:spacing w:after="60" w:line="288" w:lineRule="auto"/>
        <w:ind w:left="432" w:hanging="216"/>
        <w:shd w:fill="EAF6F3"/>
        <w:keepNext/>
        <w:keepLines/>
        <w:pBdr>
          <w:left w:val="single" w:sz="8" w:space="8" w:color="2A8C82"/>
        </w:pBdr>
      </w:pPr>
      <w:r>
        <w:t>2. Circunstancialidad llega a la meta; tangencialidad no la alcanza; descarrilamiento pierde asociaciones comprensibles.</w:t>
      </w:r>
    </w:p>
    <w:p>
      <w:pPr>
        <w:spacing w:after="60" w:line="288" w:lineRule="auto"/>
        <w:ind w:left="432" w:hanging="216"/>
        <w:shd w:fill="EAF6F3"/>
        <w:keepNext/>
        <w:keepLines/>
        <w:pBdr>
          <w:left w:val="single" w:sz="8" w:space="8" w:color="2A8C82"/>
        </w:pBdr>
      </w:pPr>
      <w:r>
        <w:t>3. El delirio se caracteriza por dimensiones, contexto cultural, curso y conducta derivada.</w:t>
      </w:r>
    </w:p>
    <w:p>
      <w:pPr>
        <w:spacing w:after="60" w:line="288" w:lineRule="auto"/>
        <w:ind w:left="432" w:hanging="216"/>
        <w:shd w:fill="EAF6F3"/>
        <w:keepNext/>
        <w:keepLines/>
        <w:pBdr>
          <w:left w:val="single" w:sz="8" w:space="8" w:color="2A8C82"/>
        </w:pBdr>
      </w:pPr>
      <w:r>
        <w:t>4. Intrusión, egodistonía, neutralización y grado de convicción ayudan a diferenciar obsesión y delirio, pero ningún rasgo aislado resuelve todos los casos.</w:t>
      </w:r>
    </w:p>
    <w:p>
      <w:pPr>
        <w:spacing w:after="60" w:line="288" w:lineRule="auto"/>
        <w:ind w:left="432" w:hanging="216"/>
        <w:shd w:fill="EAF6F3"/>
        <w:keepLines/>
        <w:pBdr>
          <w:left w:val="single" w:sz="8" w:space="8" w:color="2A8C82"/>
        </w:pBdr>
      </w:pPr>
      <w:r>
        <w:t>5. Todo contenido de muerte o violencia se explora directamente y se registra como fenómeno, intención y conducta, no como una etiqueta alarmante.</w:t>
      </w:r>
    </w:p>
    <w:p>
      <w:pPr>
        <w:pStyle w:val="Heading1"/>
      </w:pPr>
      <w:r>
        <w:t>Bibliografía esencial</w:t>
      </w:r>
    </w:p>
    <w:p>
      <w:pPr>
        <w:pStyle w:val="Bibliography"/>
      </w:pPr>
      <w:r>
        <w:t xml:space="preserve">• American Psychiatric Association. </w:t>
      </w:r>
      <w:r>
        <w:rPr>
          <w:i/>
        </w:rPr>
        <w:t>Diagnostic and Statistical Manual of Mental Disorders: DSM-5-TR</w:t>
      </w:r>
      <w:r>
        <w:t>. American Psychiatric Association Publishing; 2022.</w:t>
      </w:r>
    </w:p>
    <w:p>
      <w:pPr>
        <w:pStyle w:val="Bibliography"/>
      </w:pPr>
      <w:r>
        <w:t xml:space="preserve">• Oyebode F. </w:t>
      </w:r>
      <w:r>
        <w:rPr>
          <w:i/>
        </w:rPr>
        <w:t>Sims’ Symptoms in the Mind: Textbook of Descriptive Psychopathology</w:t>
      </w:r>
      <w:r>
        <w:t>. 7th ed. Elsevier; 2022.</w:t>
      </w:r>
    </w:p>
    <w:p>
      <w:pPr>
        <w:pStyle w:val="Bibliography"/>
      </w:pPr>
      <w:r>
        <w:t xml:space="preserve">• Casey P, Kelly B. </w:t>
      </w:r>
      <w:r>
        <w:rPr>
          <w:i/>
        </w:rPr>
        <w:t>Fish’s Clinical Psychopathology: Signs and Symptoms in Psychiatry</w:t>
      </w:r>
      <w:r>
        <w:t>. 4th ed. Cambridge University Press; 2019.</w:t>
      </w:r>
    </w:p>
    <w:p>
      <w:pPr>
        <w:pStyle w:val="Bibliography"/>
      </w:pPr>
      <w:r>
        <w:t xml:space="preserve">• World Health Organization. </w:t>
      </w:r>
      <w:r>
        <w:rPr>
          <w:i/>
        </w:rPr>
        <w:t>Clinical Descriptions and Diagnostic Requirements for ICD-11 Mental, Behavioural and Neurodevelopmental Disorders</w:t>
      </w:r>
      <w:r>
        <w:t xml:space="preserve">. World Health Organization; 2024. </w:t>
      </w:r>
      <w:hyperlink r:id="rId14">
        <w:r>
          <w:rPr>
            <w:color w:val="246B8E"/>
            <w:u w:val="single"/>
          </w:rPr>
          <w:t>Publicación oficial</w:t>
        </w:r>
      </w:hyperlink>
      <w:r>
        <w:t>.</w:t>
      </w:r>
    </w:p>
    <w:p>
      <w:r>
        <w:br w:type="page"/>
      </w:r>
    </w:p>
    <w:p>
      <w:pPr>
        <w:spacing w:after="480"/>
      </w:pPr>
      <w:r>
        <w:rPr>
          <w:rFonts w:ascii="Calibri" w:hAnsi="Calibri"/>
          <w:b/>
          <w:color w:val="2A8C82"/>
          <w:sz w:val="20"/>
        </w:rPr>
        <w:t>CAPÍTULO 07 · MATERIAL PARA ESTUDIANTES</w:t>
      </w:r>
    </w:p>
    <w:tbl>
      <w:tblPr>
        <w:tblW w:type="auto" w:w="0"/>
        <w:jc w:val="left"/>
        <w:tblLayout w:type="fixed"/>
        <w:tblLook w:firstColumn="1" w:firstRow="1" w:lastColumn="0" w:lastRow="0" w:noHBand="0" w:noVBand="1" w:val="04A0"/>
      </w:tblPr>
      <w:tblGrid>
        <w:gridCol w:w="9648"/>
      </w:tblGrid>
      <w:tr>
        <w:trPr>
          <w:tblHeader w:val="true"/>
        </w:trPr>
        <w:tc>
          <w:tcPr>
            <w:tcW w:type="dxa" w:w="9072"/>
            <w:shd w:fill="173A5E"/>
            <w:tcMar>
              <w:top w:w="120" w:type="dxa"/>
              <w:start w:w="220" w:type="dxa"/>
              <w:bottom w:w="120" w:type="dxa"/>
              <w:end w:w="220" w:type="dxa"/>
            </w:tcMar>
          </w:tcPr>
          <w:p>
            <w:pPr>
              <w:spacing w:after="0"/>
            </w:pPr>
            <w:r>
              <w:rPr>
                <w:rFonts w:ascii="Calibri" w:hAnsi="Calibri"/>
                <w:b/>
                <w:color w:val="FFFFFF"/>
                <w:sz w:val="19"/>
              </w:rPr>
              <w:t>MÓDULO I · ENTREVISTA, EXAMEN MENTAL Y RAZONAMIENTO CLÍNICO</w:t>
            </w:r>
          </w:p>
        </w:tc>
      </w:tr>
    </w:tbl>
    <w:p>
      <w:pPr>
        <w:pStyle w:val="Title"/>
        <w:spacing w:before="520" w:after="360"/>
        <w:outlineLvl w:val="0"/>
      </w:pPr>
      <w:bookmarkStart w:id="1007" w:name="chapter_07"/>
      <w:r>
        <w:t>Examen mental IV: percepción, cognición, insight y juicio</w:t>
      </w:r>
      <w:bookmarkEnd w:id="1007"/>
    </w:p>
    <w:p>
      <w:pPr>
        <w:spacing w:after="80"/>
      </w:pPr>
      <w:r>
        <w:rPr>
          <w:rFonts w:ascii="Calibri" w:hAnsi="Calibri"/>
          <w:b/>
          <w:color w:val="246B8E"/>
          <w:sz w:val="26"/>
        </w:rPr>
        <w:t>Programa de Psiquiatría para internos de Medicina</w:t>
      </w:r>
    </w:p>
    <w:p>
      <w:r>
        <w:rPr>
          <w:rFonts w:ascii="Calibri" w:hAnsi="Calibri"/>
          <w:color w:val="6B7280"/>
          <w:sz w:val="22"/>
        </w:rPr>
        <w:t>Lectura complementaria · Chile · Versión final para revisión humana · 2026</w:t>
      </w:r>
    </w:p>
    <w:p/>
    <w:p/>
    <w:p/>
    <w:p/>
    <w:p/>
    <w:tbl>
      <w:tblPr>
        <w:tblW w:type="auto" w:w="0"/>
        <w:jc w:val="left"/>
        <w:tblLayout w:type="fixed"/>
        <w:tblLook w:firstColumn="1" w:firstRow="1" w:lastColumn="0" w:lastRow="0" w:noHBand="0" w:noVBand="1" w:val="04A0"/>
      </w:tblPr>
      <w:tblGrid>
        <w:gridCol w:w="9648"/>
      </w:tblGrid>
      <w:tr>
        <w:trPr>
          <w:tblHeader w:val="true"/>
        </w:trPr>
        <w:tc>
          <w:tcPr>
            <w:tcW w:type="dxa" w:w="9648"/>
            <w:shd w:fill="F3F5F6"/>
            <w:tcBorders>
              <w:start w:val="single" w:sz="18" w:color="2A8C82"/>
            </w:tcBorders>
            <w:tcMar>
              <w:top w:w="160" w:type="dxa"/>
              <w:start w:w="220" w:type="dxa"/>
              <w:bottom w:w="160" w:type="dxa"/>
              <w:end w:w="220" w:type="dxa"/>
            </w:tcMar>
          </w:tcPr>
          <w:p>
            <w:pPr>
              <w:spacing w:after="0"/>
            </w:pPr>
            <w:r>
              <w:rPr>
                <w:rFonts w:ascii="Calibri" w:hAnsi="Calibri"/>
                <w:i/>
                <w:color w:val="6B7280"/>
                <w:sz w:val="18"/>
              </w:rPr>
              <w:t>Versión docente final para revisión humana. Material propuesto y contextualizado a Chile; no corresponde a un programa oficial de la Pontificia Universidad Católica de Chile ni sustituye protocolos locales, supervisión clínica o evaluación especializada. Fuentes revisadas al 15 de agosto de 2026.</w:t>
            </w:r>
          </w:p>
        </w:tc>
      </w:tr>
    </w:tbl>
    <w:p>
      <w:r>
        <w:br w:type="page"/>
      </w:r>
    </w:p>
    <w:tbl>
      <w:tblPr>
        <w:tblW w:type="auto" w:w="0"/>
        <w:jc w:val="center"/>
        <w:tblLayout w:type="autofit"/>
        <w:tblLook w:firstColumn="1" w:firstRow="1" w:lastColumn="0" w:lastRow="0" w:noHBand="0" w:noVBand="1" w:val="04A0"/>
      </w:tblPr>
      <w:tblGrid>
        <w:gridCol w:w="9648"/>
      </w:tblGrid>
      <w:tr>
        <w:trPr>
          <w:tblHeader w:val="true"/>
        </w:trPr>
        <w:tc>
          <w:tcPr>
            <w:tcW w:type="dxa" w:w="9648"/>
            <w:vAlign w:val="center"/>
            <w:shd w:fill="EAF3F7"/>
            <w:tcBorders>
              <w:start w:val="single" w:sz="14" w:color="2A8C82"/>
            </w:tcBorders>
            <w:tcMar>
              <w:top w:w="130" w:type="dxa"/>
              <w:start w:w="190" w:type="dxa"/>
              <w:bottom w:w="130" w:type="dxa"/>
              <w:end w:w="190" w:type="dxa"/>
            </w:tcMar>
          </w:tcPr>
          <w:p>
            <w:pPr>
              <w:spacing w:after="0"/>
            </w:pPr>
            <w:r>
              <w:rPr>
                <w:b/>
                <w:color w:val="173A5E"/>
              </w:rPr>
              <w:t xml:space="preserve">PREGUNTA CLÍNICA  </w:t>
            </w:r>
            <w:r>
              <w:t>¿Cómo caracterizar una experiencia perceptiva anómala y una alteración cognitiva sin atribuirlas prematuramente a un trastorno psiquiátrico primario?</w:t>
            </w:r>
          </w:p>
        </w:tc>
      </w:tr>
    </w:tbl>
    <w:p>
      <w:pPr>
        <w:spacing w:after="0"/>
      </w:pPr>
    </w:p>
    <w:tbl>
      <w:tblPr>
        <w:tblW w:type="auto" w:w="0"/>
        <w:jc w:val="center"/>
        <w:tblLayout w:type="autofit"/>
        <w:tblLook w:firstColumn="1" w:firstRow="1" w:lastColumn="0" w:lastRow="0" w:noHBand="0" w:noVBand="1" w:val="04A0"/>
      </w:tblPr>
      <w:tblGrid>
        <w:gridCol w:w="9648"/>
      </w:tblGrid>
      <w:tr>
        <w:trPr>
          <w:tblHeader w:val="true"/>
        </w:trPr>
        <w:tc>
          <w:tcPr>
            <w:tcW w:type="dxa" w:w="9648"/>
            <w:vAlign w:val="center"/>
            <w:shd w:fill="EAF6F3"/>
            <w:tcBorders>
              <w:start w:val="single" w:sz="14" w:color="2A8C82"/>
            </w:tcBorders>
            <w:tcMar>
              <w:top w:w="130" w:type="dxa"/>
              <w:start w:w="190" w:type="dxa"/>
              <w:bottom w:w="130" w:type="dxa"/>
              <w:end w:w="190" w:type="dxa"/>
            </w:tcMar>
          </w:tcPr>
          <w:p>
            <w:pPr>
              <w:spacing w:after="0"/>
            </w:pPr>
            <w:r>
              <w:rPr>
                <w:b/>
                <w:color w:val="173A5E"/>
              </w:rPr>
              <w:t xml:space="preserve">IDEA CENTRAL  </w:t>
            </w:r>
            <w:r>
              <w:t>Una alucinación no diagnostica esquizofrenia, estar orientado no descarta delirium y discrepar del médico no demuestra falta de insight. Percepción, cognición, insight, juicio y capacidad son dominios relacionados, pero distintos.</w:t>
            </w:r>
          </w:p>
        </w:tc>
      </w:tr>
    </w:tbl>
    <w:p>
      <w:pPr>
        <w:spacing w:after="0"/>
      </w:pPr>
    </w:p>
    <w:p>
      <w:pPr>
        <w:pStyle w:val="Heading1"/>
      </w:pPr>
      <w:r>
        <w:t>Por qué importa</w:t>
      </w:r>
    </w:p>
    <w:p>
      <w:r>
        <w:t>Las experiencias perceptivas llaman la atención y favorecen el cierre diagnóstico. Una voz puede aparecer en psicosis, trastornos afectivos, trauma, consumo de sustancias, duelo o transiciones del sueño. Una alucinación visual de comienzo agudo obliga a considerar delirium, fármacos, deterioro visual y enfermedad neurológica. Del mismo modo, una persona puede saber su nombre, el lugar y la fecha, pero ser incapaz de mantener la atención: la orientación conservada no elimina una alteración cerebral aguda.</w:t>
      </w:r>
    </w:p>
    <w:p>
      <w:r>
        <w:t>Una exploración breve y bien interpretada orienta prioridades. Una lista de casillas —“alucinaciones: sí; orientado: sí; juicio: conservado”— puede ocultar precisamente lo más importante: fluctuación, respuesta conductual, déficit atencional o incapacidad para comprender una decisión concreta.</w:t>
      </w:r>
    </w:p>
    <w:p>
      <w:pPr>
        <w:pStyle w:val="Heading1"/>
      </w:pPr>
      <w:r>
        <w:t>Objetivos de aprendizaje</w:t>
      </w:r>
    </w:p>
    <w:p>
      <w:pPr>
        <w:keepNext/>
      </w:pPr>
      <w:r>
        <w:t>Al finalizar este capítulo, el estudiante podrá:</w:t>
      </w:r>
    </w:p>
    <w:p>
      <w:pPr>
        <w:spacing w:after="60" w:line="288" w:lineRule="auto"/>
        <w:ind w:left="432" w:hanging="216"/>
      </w:pPr>
      <w:r>
        <w:t>1. Diferenciar percepción normal, ilusión, alucinación y fenómenos disociativos.</w:t>
      </w:r>
    </w:p>
    <w:p>
      <w:pPr>
        <w:spacing w:after="60" w:line="288" w:lineRule="auto"/>
        <w:ind w:left="432" w:hanging="216"/>
      </w:pPr>
      <w:r>
        <w:t>2. Caracterizar una experiencia perceptiva por modalidad, temporalidad, crítica, contexto e impacto conductual.</w:t>
      </w:r>
    </w:p>
    <w:p>
      <w:pPr>
        <w:spacing w:after="60" w:line="288" w:lineRule="auto"/>
        <w:ind w:left="432" w:hanging="216"/>
      </w:pPr>
      <w:r>
        <w:t>3. Reconocer patrones que aumentan la sospecha de etiología médica, neurológica, farmacológica o por sustancias.</w:t>
      </w:r>
    </w:p>
    <w:p>
      <w:pPr>
        <w:spacing w:after="60" w:line="288" w:lineRule="auto"/>
        <w:ind w:left="432" w:hanging="216"/>
      </w:pPr>
      <w:r>
        <w:t>4. Realizar una exploración cognitiva breve de atención, orientación, memoria, lenguaje y funciones ejecutivas.</w:t>
      </w:r>
    </w:p>
    <w:p>
      <w:pPr>
        <w:spacing w:after="60" w:line="288" w:lineRule="auto"/>
        <w:ind w:left="432" w:hanging="216"/>
      </w:pPr>
      <w:r>
        <w:t>5. Explicar el papel y los límites de instrumentos como MMSE y MoCA.</w:t>
      </w:r>
    </w:p>
    <w:p>
      <w:pPr>
        <w:spacing w:after="60" w:line="288" w:lineRule="auto"/>
        <w:ind w:left="432" w:hanging="216"/>
      </w:pPr>
      <w:r>
        <w:t>6. Evaluar insight de manera multidimensional y longitudinal.</w:t>
      </w:r>
    </w:p>
    <w:p>
      <w:pPr>
        <w:spacing w:after="60" w:line="288" w:lineRule="auto"/>
        <w:ind w:left="432" w:hanging="216"/>
      </w:pPr>
      <w:r>
        <w:t>7. Distinguir juicio clínico, capacidad decisional, competencia legal y adherencia.</w:t>
      </w:r>
    </w:p>
    <w:p>
      <w:pPr>
        <w:pStyle w:val="Heading1"/>
      </w:pPr>
      <w:r>
        <w:t>Caso clínico</w:t>
      </w:r>
    </w:p>
    <w:p>
      <w:pPr>
        <w:shd w:fill="EAF3F7"/>
        <w:keepNext/>
        <w:keepLines/>
        <w:pBdr>
          <w:left w:val="single" w:sz="8" w:space="8" w:color="246B8E"/>
        </w:pBdr>
        <w:ind w:left="173" w:right="86"/>
      </w:pPr>
      <w:r>
        <w:t>Marta, de 76 años, está hospitalizada por una infección urinaria y deshidratación. Refiere ver niños junto a la ventana. Durante la mañana comenta que “probablemente son sombras”; por la noche intenta salir de la sala para seguirlos. Conoce su nombre y sabe que está en un hospital, pero pierde el hilo de preguntas simples, se distrae con ruidos del pasillo y no logra recitar los meses en orden inverso. Su hija señala que hasta hace cuatro días conversaba con normalidad.</w:t>
      </w:r>
    </w:p>
    <w:p>
      <w:pPr>
        <w:shd w:fill="EAF3F7"/>
        <w:keepLines/>
        <w:pBdr>
          <w:left w:val="single" w:sz="8" w:space="8" w:color="246B8E"/>
        </w:pBdr>
        <w:ind w:left="173" w:right="86"/>
      </w:pPr>
      <w:r>
        <w:t>La escena combina experiencias visuales complejas, crítica fluctuante, inatención y cambio agudo respecto del basal. La orientación parcial no hace improbable el delirium; al contrario, el patrón completo exige priorizarlo.</w:t>
      </w:r>
    </w:p>
    <w:p>
      <w:pPr>
        <w:pStyle w:val="Heading1"/>
      </w:pPr>
      <w:r>
        <w:t>De la sensación a la experiencia perceptiva</w:t>
      </w:r>
    </w:p>
    <w:p>
      <w:r>
        <w:t>La percepción no es una reproducción pasiva del ambiente. Integra estímulos, atención, memoria, expectativas y contexto. Por ello, una experiencia inusual debe describirse antes de explicarse.</w:t>
      </w:r>
    </w:p>
    <w:p>
      <w:r>
        <w:t xml:space="preserve">Una </w:t>
      </w:r>
      <w:r>
        <w:rPr>
          <w:b/>
        </w:rPr>
        <w:t>ilusión</w:t>
      </w:r>
      <w:r>
        <w:t xml:space="preserve"> es la interpretación errónea de un estímulo existente: una cortina puede parecer una persona en una habitación oscura. Puede ocurrir en sujetos sanos con fatiga o temor, y es frecuente en estados confusionales. Una </w:t>
      </w:r>
      <w:r>
        <w:rPr>
          <w:b/>
        </w:rPr>
        <w:t>alucinación</w:t>
      </w:r>
      <w:r>
        <w:t xml:space="preserve"> es una experiencia con cualidad perceptiva sin el estímulo externo correspondiente. No se define por falta de insight: algunas personas reconocen que la experiencia no proviene del ambiente y otras la atribuyen plenamente a una fuente externa.</w:t>
      </w:r>
    </w:p>
    <w:p>
      <w:r>
        <w:t xml:space="preserve">Conviene evitar el término </w:t>
      </w:r>
      <w:r>
        <w:rPr>
          <w:b/>
        </w:rPr>
        <w:t>pseudoalucinación</w:t>
      </w:r>
      <w:r>
        <w:t xml:space="preserve"> como atajo, porque ha tenido significados incompatibles: localización “interna”, menor vividez, crítica conservada o experiencia imaginativa. Es más preciso describir cada dimensión. Tampoco toda imagen mental vívida, recuerdo intrusivo o diálogo interno es una alucinación.</w:t>
      </w:r>
    </w:p>
    <w:p>
      <w:r>
        <w:t>La caracterización incluye modalidad; forma simple o compleja; localización; claridad; frecuencia y duración; circunstancias de inicio; relación con vigilia y sueño; control; grado de crítica; explicación atribuida; afecto asociado; interferencia; y conducta resultante. Siempre se pregunta por audición, visión, déficit sensorial, fiebre, convulsiones, cefalea, fármacos y sustancias cuando el patrón lo justifica.</w:t>
      </w:r>
    </w:p>
    <w:p>
      <w:pPr>
        <w:pStyle w:val="Heading1"/>
      </w:pPr>
      <w:r>
        <w:t>Modalidad, temporalidad y contexto etiológico</w:t>
      </w:r>
    </w:p>
    <w:p>
      <w:r>
        <w:t>Las alucinaciones auditivas pueden ser ruidos, música o voces. En las voces interesa si hablan en segunda o tercera persona, comentan, dialogan, amenazan o dan órdenes; cuánta autoridad se les atribuye; si la persona reconoce al hablante; y cómo responde. Una voz de mandato no equivale automáticamente a obediencia. El riesgo aumenta según contenido, convicción, vínculo con la voz, historia de cumplimiento, intoxicación, impulsividad, acceso a medios y alternativas de control.</w:t>
      </w:r>
    </w:p>
    <w:p>
      <w:r>
        <w:t>Las experiencias visuales simples —destellos, figuras geométricas— y complejas —personas o escenas— tienen diferenciales amplios. Un inicio agudo con fluctuación e inatención sugiere delirium; fenómenos estereotipados pueden orientar a epilepsia o migraña; imágenes complejas con deterioro visual y crítica relativamente conservada hacen considerar síndrome de Charles Bonnet. Fármacos, abstinencia, intoxicaciones y enfermedades neurodegenerativas también pueden producirlas. Ninguna modalidad es etiológicamente exclusiva.</w:t>
      </w:r>
    </w:p>
    <w:p>
      <w:r>
        <w:t>Las alucinaciones táctiles o formicación requieren preguntar por estimulantes, abstinencia de alcohol y causas médicas. Las experiencias olfatorias o gustativas nuevas, breves y estereotipadas justifican considerar etiología neurológica. Los fenómenos hipnagógicos al dormirse e hipnopómpicos al despertar pueden ocurrir sin trastorno mental; se vuelven clínicamente relevantes por frecuencia, malestar o asociación con otros síntomas.</w:t>
      </w:r>
    </w:p>
    <w:p>
      <w:pPr>
        <w:pStyle w:val="Heading1"/>
      </w:pPr>
      <w:r>
        <w:t>Despersonalización, desrealización y reexperimentación</w:t>
      </w:r>
    </w:p>
    <w:p>
      <w:r>
        <w:t xml:space="preserve">La </w:t>
      </w:r>
      <w:r>
        <w:rPr>
          <w:b/>
        </w:rPr>
        <w:t>despersonalización</w:t>
      </w:r>
      <w:r>
        <w:t xml:space="preserve"> es una vivencia de extrañeza o distanciamiento respecto del propio cuerpo, mente o acciones. La </w:t>
      </w:r>
      <w:r>
        <w:rPr>
          <w:b/>
        </w:rPr>
        <w:t>desrealización</w:t>
      </w:r>
      <w:r>
        <w:t xml:space="preserve"> corresponde a sensación de irrealidad o extrañeza del entorno. Habitualmente se conserva la prueba de realidad: la persona siente que el mundo “parece falso”, pero sabe que esa vivencia no demuestra que haya sido reemplazado. Pueden presentarse en pánico, trauma, depresión, privación de sueño, epilepsia, sustancias o trastornos disociativos.</w:t>
      </w:r>
    </w:p>
    <w:p>
      <w:r>
        <w:t xml:space="preserve">Un </w:t>
      </w:r>
      <w:r>
        <w:rPr>
          <w:i/>
        </w:rPr>
        <w:t>flashback</w:t>
      </w:r>
      <w:r>
        <w:t xml:space="preserve"> traumático puede incluir gran vividez sensorial y sensación de presente, pero se explora su relación con un acontecimiento, desencadenantes, intrusión y recuperación posterior. No debe clasificarse automáticamente como alucinación psicótica. Si la persona construye una explicación fija y externa para la experiencia, esa interpretación se examina por separado como posible contenido delirante.</w:t>
      </w:r>
    </w:p>
    <w:p>
      <w:pPr>
        <w:pStyle w:val="Heading1"/>
      </w:pPr>
      <w:r>
        <w:t>Examen cognitivo breve junto a la cama</w:t>
      </w:r>
    </w:p>
    <w:p>
      <w:r>
        <w:t xml:space="preserve">La cognición se evalúa durante toda la entrevista. Nivel de alerta, distractibilidad, comprensión y consistencia de respuestas son datos, no mero “ruido”. En un cambio agudo, la </w:t>
      </w:r>
      <w:r>
        <w:rPr>
          <w:b/>
        </w:rPr>
        <w:t>atención</w:t>
      </w:r>
      <w:r>
        <w:t xml:space="preserve"> es prioritaria: mantener el foco, seleccionar estímulos y manipular información. Se puede observar mediante conversación, repetición de dígitos, días o meses hacia atrás u otra tarea ajustada a escolaridad. Un fracaso puede deberse también a sordera, ansiedad, dolor, fatiga, barrera idiomática o baja colaboración; debe interpretarse en contexto.</w:t>
      </w:r>
    </w:p>
    <w:p>
      <w:r>
        <w:t xml:space="preserve">La </w:t>
      </w:r>
      <w:r>
        <w:rPr>
          <w:b/>
        </w:rPr>
        <w:t>orientación</w:t>
      </w:r>
      <w:r>
        <w:t xml:space="preserve"> comprende persona, lugar, tiempo y situación. Es menos sensible que la atención para delirium y puede conservarse parcialmente. La </w:t>
      </w:r>
      <w:r>
        <w:rPr>
          <w:b/>
        </w:rPr>
        <w:t>memoria</w:t>
      </w:r>
      <w:r>
        <w:t xml:space="preserve"> incluye registro inmediato, aprendizaje, evocación diferida, reconocimiento y memoria autobiográfica. Una mala evocación con reconocimiento relativamente mejor sugiere un problema distinto de la falla de registro por inatención, pero una prueba breve no localiza por sí sola la causa.</w:t>
      </w:r>
    </w:p>
    <w:p>
      <w:r>
        <w:t xml:space="preserve">El </w:t>
      </w:r>
      <w:r>
        <w:rPr>
          <w:b/>
        </w:rPr>
        <w:t>lenguaje</w:t>
      </w:r>
      <w:r>
        <w:t xml:space="preserve"> se explora con fluidez espontánea, denominación, comprensión y repetición según el caso. Las </w:t>
      </w:r>
      <w:r>
        <w:rPr>
          <w:b/>
        </w:rPr>
        <w:t>funciones ejecutivas</w:t>
      </w:r>
      <w:r>
        <w:t xml:space="preserve"> incluyen planificación, inhibición, flexibilidad, secuenciación y abstracción; se observan en tareas y conducta real. Las habilidades visuoespaciales pueden examinarse con copia o reloj cuando visión, motricidad y escolaridad lo permiten.</w:t>
      </w:r>
    </w:p>
    <w:p>
      <w:r>
        <w:t>Siempre se compara con el nivel basal y la función cotidiana: manejo de dinero y medicamentos, desplazamiento, cocina, trabajo y actividades instrumentales. Un rendimiento bajo no equivale a demencia, y un rendimiento normal no excluye un deterioro leve, focal o altamente compensado.</w:t>
      </w:r>
    </w:p>
    <w:p>
      <w:pPr>
        <w:pStyle w:val="Heading1"/>
      </w:pPr>
      <w:r>
        <w:t>MMSE, MoCA y otros instrumentos</w:t>
      </w:r>
    </w:p>
    <w:p>
      <w:r>
        <w:t>El Mini-Mental State Examination (</w:t>
      </w:r>
      <w:r>
        <w:rPr>
          <w:b/>
        </w:rPr>
        <w:t>MMSE</w:t>
      </w:r>
      <w:r>
        <w:t>) y la Montreal Cognitive Assessment (</w:t>
      </w:r>
      <w:r>
        <w:rPr>
          <w:b/>
        </w:rPr>
        <w:t>MoCA</w:t>
      </w:r>
      <w:r>
        <w:t>) son instrumentos de tamizaje, no diagnósticos etiológicos. El MMSE tiene amplia tradición, pero menor exigencia ejecutiva y sensibilidad limitada para deterioro leve. La MoCA examina más dominios y suele ser más sensible, aunque también está influida por educación, idioma y contexto.</w:t>
      </w:r>
    </w:p>
    <w:p>
      <w:r>
        <w:t>Se debe utilizar una versión validada y autorizada, respetar sus condiciones de uso y entrenamiento, y registrar versión, puntaje, ajustes aplicados y factores que comprometen validez. No corresponde modificar ítems de manera improvisada y luego interpretar el punto de corte original. En la política oficial de MoCA vigente desde diciembre de 2025, la certificación es opcional cuando un profesional usa sólo el puntaje total para tamizaje, triaje o derivación, pero sigue siendo exigida para interpretar tareas, subpuntajes o perfiles por dominio; estas condiciones pueden cambiar y deben comprobarse antes de usar el instrumento. Ningún resultado reemplaza la historia funcional, el informante, el examen clínico ni el estudio etiológico. En cuadros agudos, un instrumento específico como 4AT —o CAM-ICU/ICDSC en cuidados críticos— puede ser más pertinente que una prueba cognitiva global y debe aplicarlo personal competente.</w:t>
      </w:r>
    </w:p>
    <w:p>
      <w:pPr>
        <w:pStyle w:val="Heading1"/>
      </w:pPr>
      <w:r>
        <w:t>Insight, juicio y capacidad: no son sinónimos</w:t>
      </w:r>
    </w:p>
    <w:p>
      <w:r>
        <w:t xml:space="preserve">El </w:t>
      </w:r>
      <w:r>
        <w:rPr>
          <w:b/>
        </w:rPr>
        <w:t>insight</w:t>
      </w:r>
      <w:r>
        <w:t xml:space="preserve"> puede descomponerse en reconocimiento de que algo cambió, atribución de ese cambio a un problema, reconocimiento de necesidad de ayuda y comprensión de consecuencias. Puede existir insight sobre las voces y no sobre una creencia delirante, o variar con el tiempo. Discrepar de un diagnóstico, preferir otro tratamiento o desconfiar por experiencias previas no demuestra falta de insight.</w:t>
      </w:r>
    </w:p>
    <w:p>
      <w:r>
        <w:t xml:space="preserve">El </w:t>
      </w:r>
      <w:r>
        <w:rPr>
          <w:b/>
        </w:rPr>
        <w:t>juicio</w:t>
      </w:r>
      <w:r>
        <w:t xml:space="preserve"> clínico alude a la capacidad de anticipar consecuencias y elegir conductas adaptativas en situaciones reales. Las preguntas hipotéticas clásicas aportan poco si se contradicen con la conducta cotidiana. Conviene describir decisiones recientes, autocuidado, uso de recursos y respuesta ante riesgos.</w:t>
      </w:r>
    </w:p>
    <w:p>
      <w:r>
        <w:t xml:space="preserve">La </w:t>
      </w:r>
      <w:r>
        <w:rPr>
          <w:b/>
        </w:rPr>
        <w:t>capacidad para decidir</w:t>
      </w:r>
      <w:r>
        <w:t xml:space="preserve"> se refiere a una decisión específica, en un momento concreto. Habitualmente se examina si la persona puede expresar una elección, comprender información relevante, apreciar cómo se aplica a su situación y razonar entre alternativas. No es equivalente a un diagnóstico grave ni al resultado de una prueba cognitiva. La </w:t>
      </w:r>
      <w:r>
        <w:rPr>
          <w:b/>
        </w:rPr>
        <w:t>competencia</w:t>
      </w:r>
      <w:r>
        <w:t xml:space="preserve"> es una determinación jurídica según la jurisdicción. La adherencia, por su parte, depende de acceso, efectos adversos, creencias, alianza y preferencias; no es una prueba de capacidad ni de buen juicio.</w:t>
      </w:r>
    </w:p>
    <w:p>
      <w:pPr>
        <w:pStyle w:val="Heading1"/>
      </w:pPr>
      <w:r>
        <w:t>Integración del caso</w:t>
      </w:r>
    </w:p>
    <w:p>
      <w:r>
        <w:t>En Marta, el hallazgo central no es “alucinación visual con orientación conservada”, sino un cambio agudo y fluctuante con inatención y conducta nocturna riesgosa en contexto médico. La conducta inicial es evaluar y tratar delirium y sus precipitantes, revisar fármacos y asegurar un ambiente protegido. Si las visiones persistieran tras resolver el estado agudo, el diferencial debería reabrirse.</w:t>
      </w:r>
    </w:p>
    <w:p>
      <w:pPr>
        <w:pStyle w:val="Heading1"/>
      </w:pPr>
      <w:r>
        <w:t>Errores frecuentes</w:t>
      </w:r>
    </w:p>
    <w:p>
      <w:pPr>
        <w:pStyle w:val="ListBullet"/>
      </w:pPr>
      <w:r>
        <w:t>Diagnosticar esquizofrenia por la sola presencia de alucinaciones.</w:t>
      </w:r>
    </w:p>
    <w:p>
      <w:pPr>
        <w:pStyle w:val="ListBullet"/>
      </w:pPr>
      <w:r>
        <w:t>Usar “pseudoalucinación” sin describir vividez, localización y crítica.</w:t>
      </w:r>
    </w:p>
    <w:p>
      <w:pPr>
        <w:pStyle w:val="ListBullet"/>
      </w:pPr>
      <w:r>
        <w:t>Omitir sueño, déficit sensorial, fármacos, sustancias y enfermedad neurológica.</w:t>
      </w:r>
    </w:p>
    <w:p>
      <w:pPr>
        <w:pStyle w:val="ListBullet"/>
      </w:pPr>
      <w:r>
        <w:t>Descartar delirium porque la persona sabe dónde está.</w:t>
      </w:r>
    </w:p>
    <w:p>
      <w:pPr>
        <w:pStyle w:val="ListBullet"/>
      </w:pPr>
      <w:r>
        <w:t>Confundir falta de cooperación, sordera o ansiedad con déficit cognitivo.</w:t>
      </w:r>
    </w:p>
    <w:p>
      <w:pPr>
        <w:pStyle w:val="ListBullet"/>
      </w:pPr>
      <w:r>
        <w:t>Interpretar un puntaje de MMSE o MoCA sin versión, escolaridad ni condiciones de administración.</w:t>
      </w:r>
    </w:p>
    <w:p>
      <w:pPr>
        <w:pStyle w:val="ListBullet"/>
      </w:pPr>
      <w:r>
        <w:t>Llamar falta de insight a cualquier desacuerdo con el clínico.</w:t>
      </w:r>
    </w:p>
    <w:p>
      <w:pPr>
        <w:pStyle w:val="ListBullet"/>
      </w:pPr>
      <w:r>
        <w:t>Equiparar incumplimiento terapéutico, juicio deficiente e incapacidad decisional.</w:t>
      </w:r>
    </w:p>
    <w:p>
      <w:pPr>
        <w:pStyle w:val="Heading1"/>
      </w:pPr>
      <w:r>
        <w:t>Para recordar</w:t>
      </w:r>
    </w:p>
    <w:p>
      <w:pPr>
        <w:spacing w:after="60" w:line="288" w:lineRule="auto"/>
        <w:ind w:left="432" w:hanging="216"/>
        <w:shd w:fill="EAF6F3"/>
        <w:keepNext/>
        <w:keepLines/>
        <w:pBdr>
          <w:left w:val="single" w:sz="8" w:space="8" w:color="2A8C82"/>
        </w:pBdr>
      </w:pPr>
      <w:r>
        <w:t>1. Caracterice la experiencia perceptiva antes de asignarle causa.</w:t>
      </w:r>
    </w:p>
    <w:p>
      <w:pPr>
        <w:spacing w:after="60" w:line="288" w:lineRule="auto"/>
        <w:ind w:left="432" w:hanging="216"/>
        <w:shd w:fill="EAF6F3"/>
        <w:keepNext/>
        <w:keepLines/>
        <w:pBdr>
          <w:left w:val="single" w:sz="8" w:space="8" w:color="2A8C82"/>
        </w:pBdr>
      </w:pPr>
      <w:r>
        <w:t>2. Modalidad, comienzo, fluctuación, crítica y conducta asociada orientan mejor que la palabra “alucinación”.</w:t>
      </w:r>
    </w:p>
    <w:p>
      <w:pPr>
        <w:spacing w:after="60" w:line="288" w:lineRule="auto"/>
        <w:ind w:left="432" w:hanging="216"/>
        <w:shd w:fill="EAF6F3"/>
        <w:keepNext/>
        <w:keepLines/>
        <w:pBdr>
          <w:left w:val="single" w:sz="8" w:space="8" w:color="2A8C82"/>
        </w:pBdr>
      </w:pPr>
      <w:r>
        <w:t>3. En delirium, la inatención y el cambio agudo importan más que una orientación parcialmente conservada.</w:t>
      </w:r>
    </w:p>
    <w:p>
      <w:pPr>
        <w:spacing w:after="60" w:line="288" w:lineRule="auto"/>
        <w:ind w:left="432" w:hanging="216"/>
        <w:shd w:fill="EAF6F3"/>
        <w:keepNext/>
        <w:keepLines/>
        <w:pBdr>
          <w:left w:val="single" w:sz="8" w:space="8" w:color="2A8C82"/>
        </w:pBdr>
      </w:pPr>
      <w:r>
        <w:t>4. MMSE y MoCA apoyan el tamizaje; no diagnostican etiología ni sustituyen la función basal.</w:t>
      </w:r>
    </w:p>
    <w:p>
      <w:pPr>
        <w:spacing w:after="60" w:line="288" w:lineRule="auto"/>
        <w:ind w:left="432" w:hanging="216"/>
        <w:shd w:fill="EAF6F3"/>
        <w:keepLines/>
        <w:pBdr>
          <w:left w:val="single" w:sz="8" w:space="8" w:color="2A8C82"/>
        </w:pBdr>
      </w:pPr>
      <w:r>
        <w:t>5. Insight, juicio, capacidad, competencia y adherencia son constructos diferentes.</w:t>
      </w:r>
    </w:p>
    <w:p>
      <w:pPr>
        <w:pStyle w:val="Heading1"/>
      </w:pPr>
      <w:r>
        <w:t>Bibliografía esencial</w:t>
      </w:r>
    </w:p>
    <w:p>
      <w:pPr>
        <w:pStyle w:val="Bibliography"/>
      </w:pPr>
      <w:r>
        <w:t xml:space="preserve">• World Health Organization. </w:t>
      </w:r>
      <w:r>
        <w:rPr>
          <w:i/>
        </w:rPr>
        <w:t>Clinical Descriptions and Diagnostic Requirements for ICD-11 Mental, Behavioural and Neurodevelopmental Disorders</w:t>
      </w:r>
      <w:r>
        <w:t xml:space="preserve">. World Health Organization; 2024. </w:t>
      </w:r>
      <w:hyperlink r:id="rId14">
        <w:r>
          <w:rPr>
            <w:color w:val="246B8E"/>
            <w:u w:val="single"/>
          </w:rPr>
          <w:t>Publicación oficial</w:t>
        </w:r>
      </w:hyperlink>
      <w:r>
        <w:t>.</w:t>
      </w:r>
    </w:p>
    <w:p>
      <w:pPr>
        <w:pStyle w:val="Bibliography"/>
      </w:pPr>
      <w:r>
        <w:t xml:space="preserve">• Nasreddine ZS, Phillips NA, Bédirian V, et al. The Montreal Cognitive Assessment, MoCA: a brief screening tool for mild cognitive impairment. </w:t>
      </w:r>
      <w:r>
        <w:rPr>
          <w:i/>
        </w:rPr>
        <w:t>Journal of the American Geriatrics Society</w:t>
      </w:r>
      <w:r>
        <w:t xml:space="preserve">. 2005;53(4):695–699. </w:t>
      </w:r>
      <w:hyperlink r:id="rId16">
        <w:r>
          <w:rPr>
            <w:color w:val="246B8E"/>
            <w:u w:val="single"/>
          </w:rPr>
          <w:t>doi:10.1111/j.1532-5415.2005.53221.x</w:t>
        </w:r>
      </w:hyperlink>
      <w:r>
        <w:t>.</w:t>
      </w:r>
    </w:p>
    <w:p>
      <w:pPr>
        <w:pStyle w:val="Bibliography"/>
      </w:pPr>
      <w:r>
        <w:t xml:space="preserve">• MoCA Cognition. </w:t>
      </w:r>
      <w:r>
        <w:rPr>
          <w:i/>
        </w:rPr>
        <w:t>Frequently Asked Questions: administration, training and certification</w:t>
      </w:r>
      <w:r>
        <w:t xml:space="preserve">. Política actualizada en diciembre de 2025. </w:t>
      </w:r>
      <w:hyperlink r:id="rId17">
        <w:r>
          <w:rPr>
            <w:color w:val="246B8E"/>
            <w:u w:val="single"/>
          </w:rPr>
          <w:t>Sitio oficial</w:t>
        </w:r>
      </w:hyperlink>
      <w:r>
        <w:t>.</w:t>
      </w:r>
    </w:p>
    <w:p>
      <w:pPr>
        <w:pStyle w:val="Bibliography"/>
      </w:pPr>
      <w:r>
        <w:t xml:space="preserve">• Marcantonio ER. Delirium in hospitalized older adults. </w:t>
      </w:r>
      <w:r>
        <w:rPr>
          <w:i/>
        </w:rPr>
        <w:t>New England Journal of Medicine</w:t>
      </w:r>
      <w:r>
        <w:t xml:space="preserve">. 2017;377(15):1456–1466. </w:t>
      </w:r>
      <w:hyperlink r:id="rId18">
        <w:r>
          <w:rPr>
            <w:color w:val="246B8E"/>
            <w:u w:val="single"/>
          </w:rPr>
          <w:t>doi:10.1056/NEJMcp1605501</w:t>
        </w:r>
      </w:hyperlink>
      <w:r>
        <w:t>.</w:t>
      </w:r>
    </w:p>
    <w:p>
      <w:pPr>
        <w:pStyle w:val="Bibliography"/>
      </w:pPr>
      <w:r>
        <w:t xml:space="preserve">• National Institute for Health and Care Excellence. </w:t>
      </w:r>
      <w:r>
        <w:rPr>
          <w:i/>
        </w:rPr>
        <w:t>Delirium: prevention, diagnosis and management in hospital and long-term care</w:t>
      </w:r>
      <w:r>
        <w:t xml:space="preserve">. Clinical guideline CG103. Actualizada en 2023. </w:t>
      </w:r>
      <w:hyperlink r:id="rId19">
        <w:r>
          <w:rPr>
            <w:color w:val="246B8E"/>
            <w:u w:val="single"/>
          </w:rPr>
          <w:t>Recomendaciones</w:t>
        </w:r>
      </w:hyperlink>
      <w:r>
        <w:t>.</w:t>
      </w:r>
    </w:p>
    <w:p>
      <w:pPr>
        <w:pStyle w:val="Bibliography"/>
      </w:pPr>
      <w:r>
        <w:t xml:space="preserve">• Appelbaum PS. Assessment of patients’ competence to consent to treatment. </w:t>
      </w:r>
      <w:r>
        <w:rPr>
          <w:i/>
        </w:rPr>
        <w:t>New England Journal of Medicine</w:t>
      </w:r>
      <w:r>
        <w:t xml:space="preserve">. 2007;357(18):1834–1840. </w:t>
      </w:r>
      <w:hyperlink r:id="rId20">
        <w:r>
          <w:rPr>
            <w:color w:val="246B8E"/>
            <w:u w:val="single"/>
          </w:rPr>
          <w:t>doi:10.1056/NEJMcp074045</w:t>
        </w:r>
      </w:hyperlink>
      <w:r>
        <w:t>.</w:t>
      </w:r>
    </w:p>
    <w:p>
      <w:r>
        <w:br w:type="page"/>
      </w:r>
    </w:p>
    <w:p>
      <w:pPr>
        <w:spacing w:after="480"/>
      </w:pPr>
      <w:r>
        <w:rPr>
          <w:rFonts w:ascii="Calibri" w:hAnsi="Calibri"/>
          <w:b/>
          <w:color w:val="2A8C82"/>
          <w:sz w:val="20"/>
        </w:rPr>
        <w:t>CAPÍTULO 08 · MATERIAL PARA ESTUDIANTES</w:t>
      </w:r>
    </w:p>
    <w:tbl>
      <w:tblPr>
        <w:tblW w:type="auto" w:w="0"/>
        <w:jc w:val="left"/>
        <w:tblLayout w:type="fixed"/>
        <w:tblLook w:firstColumn="1" w:firstRow="1" w:lastColumn="0" w:lastRow="0" w:noHBand="0" w:noVBand="1" w:val="04A0"/>
      </w:tblPr>
      <w:tblGrid>
        <w:gridCol w:w="9648"/>
      </w:tblGrid>
      <w:tr>
        <w:trPr>
          <w:tblHeader w:val="true"/>
        </w:trPr>
        <w:tc>
          <w:tcPr>
            <w:tcW w:type="dxa" w:w="9072"/>
            <w:shd w:fill="173A5E"/>
            <w:tcMar>
              <w:top w:w="120" w:type="dxa"/>
              <w:start w:w="220" w:type="dxa"/>
              <w:bottom w:w="120" w:type="dxa"/>
              <w:end w:w="220" w:type="dxa"/>
            </w:tcMar>
          </w:tcPr>
          <w:p>
            <w:pPr>
              <w:spacing w:after="0"/>
            </w:pPr>
            <w:r>
              <w:rPr>
                <w:rFonts w:ascii="Calibri" w:hAnsi="Calibri"/>
                <w:b/>
                <w:color w:val="FFFFFF"/>
                <w:sz w:val="19"/>
              </w:rPr>
              <w:t>MÓDULO I · ENTREVISTA, EXAMEN MENTAL Y RAZONAMIENTO CLÍNICO</w:t>
            </w:r>
          </w:p>
        </w:tc>
      </w:tr>
    </w:tbl>
    <w:p>
      <w:pPr>
        <w:pStyle w:val="Title"/>
        <w:spacing w:before="520" w:after="360"/>
        <w:outlineLvl w:val="0"/>
      </w:pPr>
      <w:bookmarkStart w:id="1008" w:name="chapter_08"/>
      <w:r>
        <w:t>De síntomas a síndromes psicopatológicos</w:t>
      </w:r>
      <w:bookmarkEnd w:id="1008"/>
    </w:p>
    <w:p>
      <w:pPr>
        <w:spacing w:after="80"/>
      </w:pPr>
      <w:r>
        <w:rPr>
          <w:rFonts w:ascii="Calibri" w:hAnsi="Calibri"/>
          <w:b/>
          <w:color w:val="246B8E"/>
          <w:sz w:val="26"/>
        </w:rPr>
        <w:t>Programa de Psiquiatría para internos de Medicina</w:t>
      </w:r>
    </w:p>
    <w:p>
      <w:r>
        <w:rPr>
          <w:rFonts w:ascii="Calibri" w:hAnsi="Calibri"/>
          <w:color w:val="6B7280"/>
          <w:sz w:val="22"/>
        </w:rPr>
        <w:t>Lectura complementaria · Chile · Versión final para revisión humana · 2026</w:t>
      </w:r>
    </w:p>
    <w:p/>
    <w:p/>
    <w:p/>
    <w:p/>
    <w:p/>
    <w:tbl>
      <w:tblPr>
        <w:tblW w:type="auto" w:w="0"/>
        <w:jc w:val="left"/>
        <w:tblLayout w:type="fixed"/>
        <w:tblLook w:firstColumn="1" w:firstRow="1" w:lastColumn="0" w:lastRow="0" w:noHBand="0" w:noVBand="1" w:val="04A0"/>
      </w:tblPr>
      <w:tblGrid>
        <w:gridCol w:w="9648"/>
      </w:tblGrid>
      <w:tr>
        <w:trPr>
          <w:tblHeader w:val="true"/>
        </w:trPr>
        <w:tc>
          <w:tcPr>
            <w:tcW w:type="dxa" w:w="9648"/>
            <w:shd w:fill="F3F5F6"/>
            <w:tcBorders>
              <w:start w:val="single" w:sz="18" w:color="2A8C82"/>
            </w:tcBorders>
            <w:tcMar>
              <w:top w:w="160" w:type="dxa"/>
              <w:start w:w="220" w:type="dxa"/>
              <w:bottom w:w="160" w:type="dxa"/>
              <w:end w:w="220" w:type="dxa"/>
            </w:tcMar>
          </w:tcPr>
          <w:p>
            <w:pPr>
              <w:spacing w:after="0"/>
            </w:pPr>
            <w:r>
              <w:rPr>
                <w:rFonts w:ascii="Calibri" w:hAnsi="Calibri"/>
                <w:i/>
                <w:color w:val="6B7280"/>
                <w:sz w:val="18"/>
              </w:rPr>
              <w:t>Versión docente final para revisión humana. Material propuesto y contextualizado a Chile; no corresponde a un programa oficial de la Pontificia Universidad Católica de Chile ni sustituye protocolos locales, supervisión clínica o evaluación especializada. Fuentes revisadas al 15 de agosto de 2026.</w:t>
            </w:r>
          </w:p>
        </w:tc>
      </w:tr>
    </w:tbl>
    <w:p>
      <w:r>
        <w:br w:type="page"/>
      </w:r>
    </w:p>
    <w:tbl>
      <w:tblPr>
        <w:tblW w:type="auto" w:w="0"/>
        <w:jc w:val="center"/>
        <w:tblLayout w:type="autofit"/>
        <w:tblLook w:firstColumn="1" w:firstRow="1" w:lastColumn="0" w:lastRow="0" w:noHBand="0" w:noVBand="1" w:val="04A0"/>
      </w:tblPr>
      <w:tblGrid>
        <w:gridCol w:w="9648"/>
      </w:tblGrid>
      <w:tr>
        <w:trPr>
          <w:tblHeader w:val="true"/>
        </w:trPr>
        <w:tc>
          <w:tcPr>
            <w:tcW w:type="dxa" w:w="9648"/>
            <w:vAlign w:val="center"/>
            <w:shd w:fill="EAF3F7"/>
            <w:tcBorders>
              <w:start w:val="single" w:sz="14" w:color="2A8C82"/>
            </w:tcBorders>
            <w:tcMar>
              <w:top w:w="130" w:type="dxa"/>
              <w:start w:w="190" w:type="dxa"/>
              <w:bottom w:w="130" w:type="dxa"/>
              <w:end w:w="190" w:type="dxa"/>
            </w:tcMar>
          </w:tcPr>
          <w:p>
            <w:pPr>
              <w:spacing w:after="0"/>
            </w:pPr>
            <w:r>
              <w:rPr>
                <w:b/>
                <w:color w:val="173A5E"/>
              </w:rPr>
              <w:t xml:space="preserve">PREGUNTA CLÍNICA  </w:t>
            </w:r>
            <w:r>
              <w:t>¿Cómo transformar una lista de síntomas en una organización clínica útil sin cerrar prematuramente el diagnóstico?</w:t>
            </w:r>
          </w:p>
        </w:tc>
      </w:tr>
    </w:tbl>
    <w:p>
      <w:pPr>
        <w:spacing w:after="0"/>
      </w:pPr>
    </w:p>
    <w:tbl>
      <w:tblPr>
        <w:tblW w:type="auto" w:w="0"/>
        <w:jc w:val="center"/>
        <w:tblLayout w:type="autofit"/>
        <w:tblLook w:firstColumn="1" w:firstRow="1" w:lastColumn="0" w:lastRow="0" w:noHBand="0" w:noVBand="1" w:val="04A0"/>
      </w:tblPr>
      <w:tblGrid>
        <w:gridCol w:w="9648"/>
      </w:tblGrid>
      <w:tr>
        <w:trPr>
          <w:tblHeader w:val="true"/>
        </w:trPr>
        <w:tc>
          <w:tcPr>
            <w:tcW w:type="dxa" w:w="9648"/>
            <w:vAlign w:val="center"/>
            <w:shd w:fill="EAF6F3"/>
            <w:tcBorders>
              <w:start w:val="single" w:sz="14" w:color="2A8C82"/>
            </w:tcBorders>
            <w:tcMar>
              <w:top w:w="130" w:type="dxa"/>
              <w:start w:w="190" w:type="dxa"/>
              <w:bottom w:w="130" w:type="dxa"/>
              <w:end w:w="190" w:type="dxa"/>
            </w:tcMar>
          </w:tcPr>
          <w:p>
            <w:pPr>
              <w:spacing w:after="0"/>
            </w:pPr>
            <w:r>
              <w:rPr>
                <w:b/>
                <w:color w:val="173A5E"/>
              </w:rPr>
              <w:t xml:space="preserve">IDEA CENTRAL  </w:t>
            </w:r>
            <w:r>
              <w:t>El síndrome es una hipótesis descriptiva intermedia: integra un patrón, su temporalidad y repercusión, pero no demuestra un trastorno ni su causa.</w:t>
            </w:r>
          </w:p>
        </w:tc>
      </w:tr>
    </w:tbl>
    <w:p>
      <w:pPr>
        <w:spacing w:after="0"/>
      </w:pPr>
    </w:p>
    <w:p>
      <w:pPr>
        <w:pStyle w:val="Heading1"/>
      </w:pPr>
      <w:r>
        <w:t>Por qué importa</w:t>
      </w:r>
    </w:p>
    <w:p>
      <w:r>
        <w:t>La consulta psiquiátrica rara vez llega ordenada según un manual diagnóstico. “No duerme”, “está paranoico” o “tiene crisis” son puntos de partida, no diagnósticos. Si el clínico salta desde un síntoma llamativo hacia una entidad —insomnio a manía, alucinación a esquizofrenia, tristeza a depresión— pierde información, omite alternativas y tiende a buscar sólo datos confirmatorios.</w:t>
      </w:r>
    </w:p>
    <w:p>
      <w:r>
        <w:t>El razonamiento sindromático ofrece una escala intermedia. Permite reconocer qué conjunto de fenómenos está presente, cuál domina, qué otros coexisten y qué urgencia tienen, mientras la etiología permanece abierta. Es particularmente valioso en urgencias, primeras consultas y cuadros modificados por sustancias o enfermedad médica.</w:t>
      </w:r>
    </w:p>
    <w:p>
      <w:pPr>
        <w:pStyle w:val="Heading1"/>
      </w:pPr>
      <w:r>
        <w:t>Objetivos de aprendizaje</w:t>
      </w:r>
    </w:p>
    <w:p>
      <w:pPr>
        <w:keepNext/>
      </w:pPr>
      <w:r>
        <w:t>Al finalizar este capítulo, el estudiante podrá:</w:t>
      </w:r>
    </w:p>
    <w:p>
      <w:pPr>
        <w:spacing w:after="60" w:line="288" w:lineRule="auto"/>
        <w:ind w:left="432" w:hanging="216"/>
      </w:pPr>
      <w:r>
        <w:t>1. Diferenciar síntoma, signo, síndrome, trastorno y etiología.</w:t>
      </w:r>
    </w:p>
    <w:p>
      <w:pPr>
        <w:spacing w:after="60" w:line="288" w:lineRule="auto"/>
        <w:ind w:left="432" w:hanging="216"/>
      </w:pPr>
      <w:r>
        <w:t>2. Reconocer los principales síndromes psicopatológicos del adulto.</w:t>
      </w:r>
    </w:p>
    <w:p>
      <w:pPr>
        <w:spacing w:after="60" w:line="288" w:lineRule="auto"/>
        <w:ind w:left="432" w:hanging="216"/>
      </w:pPr>
      <w:r>
        <w:t>3. Incorporar temporalidad, cambio respecto del basal e interferencia funcional.</w:t>
      </w:r>
    </w:p>
    <w:p>
      <w:pPr>
        <w:spacing w:after="60" w:line="288" w:lineRule="auto"/>
        <w:ind w:left="432" w:hanging="216"/>
      </w:pPr>
      <w:r>
        <w:t>4. Jerarquizar síndromes por riesgo médico, psiquiátrico y necesidad de intervención.</w:t>
      </w:r>
    </w:p>
    <w:p>
      <w:pPr>
        <w:spacing w:after="60" w:line="288" w:lineRule="auto"/>
        <w:ind w:left="432" w:hanging="216"/>
      </w:pPr>
      <w:r>
        <w:t>5. Reconocer coexistencia y solapamiento sin forzar una única categoría.</w:t>
      </w:r>
    </w:p>
    <w:p>
      <w:pPr>
        <w:spacing w:after="60" w:line="288" w:lineRule="auto"/>
        <w:ind w:left="432" w:hanging="216"/>
      </w:pPr>
      <w:r>
        <w:t>6. Evitar errores como equiparar psicosis con esquizofrenia o irritabilidad con manía.</w:t>
      </w:r>
    </w:p>
    <w:p>
      <w:pPr>
        <w:spacing w:after="60" w:line="288" w:lineRule="auto"/>
        <w:ind w:left="432" w:hanging="216"/>
      </w:pPr>
      <w:r>
        <w:t>7. Construir una representación sintética que preserve la incertidumbre relevante.</w:t>
      </w:r>
    </w:p>
    <w:p>
      <w:pPr>
        <w:pStyle w:val="Heading1"/>
      </w:pPr>
      <w:r>
        <w:t>Caso clínico</w:t>
      </w:r>
    </w:p>
    <w:p>
      <w:pPr>
        <w:shd w:fill="EAF3F7"/>
        <w:keepNext/>
        <w:keepLines/>
        <w:pBdr>
          <w:left w:val="single" w:sz="8" w:space="8" w:color="246B8E"/>
        </w:pBdr>
        <w:ind w:left="173" w:right="86"/>
      </w:pPr>
      <w:r>
        <w:t>Luis, de 33 años, duerme dos horas por noche sin sentirse cansado. Habla más rápido, ha iniciado tres negocios, gastó gran parte de sus ahorros y se irrita cuando la familia intenta detenerlo. Desde hace una semana afirma que ciertas publicaciones en redes sociales contienen mensajes destinados exclusivamente a él. Consume cannabis a diario y hace poco comenzó a usar estimulantes obtenidos por internet. Su familia teme que confronte a un antiguo socio.</w:t>
      </w:r>
    </w:p>
    <w:p>
      <w:pPr>
        <w:shd w:fill="EAF3F7"/>
        <w:keepLines/>
        <w:pBdr>
          <w:left w:val="single" w:sz="8" w:space="8" w:color="246B8E"/>
        </w:pBdr>
        <w:ind w:left="173" w:right="86"/>
      </w:pPr>
      <w:r>
        <w:t>El caso permite reconocer un síndrome maniforme con síntomas psicóticos y deterioro conductual, además de exposiciones capaces de contribuir al cuadro. Nada de esto autoriza todavía a afirmar trastorno bipolar primario ni psicosis inducida.</w:t>
      </w:r>
    </w:p>
    <w:p>
      <w:pPr>
        <w:pStyle w:val="Heading1"/>
      </w:pPr>
      <w:r>
        <w:t>Cinco niveles que conviene mantener separados</w:t>
      </w:r>
    </w:p>
    <w:p>
      <w:r>
        <w:t xml:space="preserve">Un </w:t>
      </w:r>
      <w:r>
        <w:rPr>
          <w:b/>
        </w:rPr>
        <w:t>síntoma</w:t>
      </w:r>
      <w:r>
        <w:t xml:space="preserve"> es una experiencia que la persona refiere, como anhedonia o sensación de amenaza. Un </w:t>
      </w:r>
      <w:r>
        <w:rPr>
          <w:b/>
        </w:rPr>
        <w:t>signo</w:t>
      </w:r>
      <w:r>
        <w:t xml:space="preserve"> es un hallazgo observado o elicitable, como presión del habla, inatención o rigidez. La distinción no es absoluta: algunos fenómenos pueden ser referidos y también observados.</w:t>
      </w:r>
    </w:p>
    <w:p>
      <w:r>
        <w:t xml:space="preserve">Un </w:t>
      </w:r>
      <w:r>
        <w:rPr>
          <w:b/>
        </w:rPr>
        <w:t>síndrome</w:t>
      </w:r>
      <w:r>
        <w:t xml:space="preserve"> es un patrón clínicamente reconocible de síntomas y signos que tienden a agruparse. Es descriptivo y no necesariamente coincide con una entidad diagnóstica. Un </w:t>
      </w:r>
      <w:r>
        <w:rPr>
          <w:b/>
        </w:rPr>
        <w:t>trastorno</w:t>
      </w:r>
      <w:r>
        <w:t xml:space="preserve"> requiere criterios, duración, exclusiones, malestar o deterioro según un sistema clasificatorio. La </w:t>
      </w:r>
      <w:r>
        <w:rPr>
          <w:b/>
        </w:rPr>
        <w:t>etiología</w:t>
      </w:r>
      <w:r>
        <w:t xml:space="preserve"> responde por qué ocurrió: puede ser primaria, médica, neurológica, farmacológica, inducida por sustancias, contextual o multifactorial.</w:t>
      </w:r>
    </w:p>
    <w:p>
      <w:r>
        <w:t>Estos niveles no forman una escalera automática. Un síndrome depresivo puede aparecer en trastorno depresivo mayor, bipolaridad, duelo, hipotiroidismo, enfermedad neurológica o efecto farmacológico. Y una etiología médica no impide que exista, además, un trastorno psiquiátrico independiente. Tampoco todos los problemas clínicos se comprenden bien como un síndrome agudo: rasgos de personalidad, condiciones del neurodesarrollo, adversidad social y patrones relacionales requieren una mirada longitudinal adicional.</w:t>
      </w:r>
    </w:p>
    <w:p>
      <w:pPr>
        <w:pStyle w:val="Heading1"/>
      </w:pPr>
      <w:r>
        <w:t>Síndromes afectivos</w:t>
      </w:r>
    </w:p>
    <w:p>
      <w:r>
        <w:t xml:space="preserve">El </w:t>
      </w:r>
      <w:r>
        <w:rPr>
          <w:b/>
        </w:rPr>
        <w:t>síndrome depresivo</w:t>
      </w:r>
      <w:r>
        <w:t xml:space="preserve"> combina ánimo deprimido y/o pérdida de interés con cambios cognitivos, motivacionales, somáticos y conductuales: desesperanza, culpa, enlentecimiento o agitación, fatiga, alteraciones de sueño y apetito, y pensamientos de muerte. La tristeza aislada no basta. Importan persistencia, generalización, cambio respecto del basal e interferencia. Tampoco toda anhedonia es depresión: puede acompañar síntomas negativos, consumo, dolor crónico o enfermedad neurológica.</w:t>
      </w:r>
    </w:p>
    <w:p>
      <w:r>
        <w:t xml:space="preserve">El </w:t>
      </w:r>
      <w:r>
        <w:rPr>
          <w:b/>
        </w:rPr>
        <w:t>síndrome maniforme</w:t>
      </w:r>
      <w:r>
        <w:t xml:space="preserve"> se caracteriza por elevación, expansividad o irritabilidad episódica junto con aumento de energía o actividad. Menor necesidad de dormir —pocas horas sin cansancio— es diferente de insomnio con deseo de dormir. Se buscan presión del habla, aceleración, distractibilidad, grandiosidad, aumento de conducta dirigida a objetivos y decisiones riesgosas. Irritabilidad, labilidad o impulsividad aisladas no forman una manía.</w:t>
      </w:r>
    </w:p>
    <w:p>
      <w:r>
        <w:t xml:space="preserve">Los </w:t>
      </w:r>
      <w:r>
        <w:rPr>
          <w:b/>
        </w:rPr>
        <w:t>síntomas de polaridad opuesta</w:t>
      </w:r>
      <w:r>
        <w:t xml:space="preserve"> pueden coexistir durante un episodio. La expresión “cuadro mixto” debe usarse con precisión: los criterios y especificadores dependen del sistema diagnóstico, y agitación más insomnio no bastan. La coexistencia de activación, desesperanza e impulsividad tiene importancia clínica porque puede asociarse a mayor sufrimiento y riesgo.</w:t>
      </w:r>
    </w:p>
    <w:p>
      <w:pPr>
        <w:pStyle w:val="Heading1"/>
      </w:pPr>
      <w:r>
        <w:t>Síndrome psicótico y desorganización</w:t>
      </w:r>
    </w:p>
    <w:p>
      <w:r>
        <w:t xml:space="preserve">El </w:t>
      </w:r>
      <w:r>
        <w:rPr>
          <w:b/>
        </w:rPr>
        <w:t>síndrome psicótico</w:t>
      </w:r>
      <w:r>
        <w:t xml:space="preserve"> incluye uno o más fenómenos como delirios, alucinaciones, pensamiento o conducta marcadamente desorganizados y, según el cuadro, síntomas negativos. Psicosis describe una alteración significativa de prueba de realidad o de la organización, pero no identifica por sí sola la enfermedad.</w:t>
      </w:r>
    </w:p>
    <w:p>
      <w:r>
        <w:t>Se debe establecer si los síntomas aparecen con conciencia clara o en un estado confusional; si están restringidos a episodios afectivos; si comenzaron después de una sustancia, medicamento o enfermedad; y cuánto persisten. “Ideas paranoides” debe descomponerse en suspicacia, hipervigilancia, ideas de referencia o delirios persecutorios.</w:t>
      </w:r>
    </w:p>
    <w:p>
      <w:r>
        <w:t xml:space="preserve">Los </w:t>
      </w:r>
      <w:r>
        <w:rPr>
          <w:b/>
        </w:rPr>
        <w:t>síntomas negativos</w:t>
      </w:r>
      <w:r>
        <w:t xml:space="preserve"> —reducción de expresión emocional, habla, motivación, interés social o capacidad de placer— requieren especial cautela. Depresión, sedación, parkinsonismo, privación social, ansiedad y consumo pueden producir apariencias similares. Denominarlos primarios exige evaluación longitudinal y diferencial, no una impresión transversal.</w:t>
      </w:r>
    </w:p>
    <w:p>
      <w:pPr>
        <w:pStyle w:val="Heading1"/>
      </w:pPr>
      <w:r>
        <w:t>Síndromes ansiosos, obsesivo-compulsivo y relacionados con trauma</w:t>
      </w:r>
    </w:p>
    <w:p>
      <w:r>
        <w:t xml:space="preserve">“Ansiedad” comprende configuraciones distintas. El </w:t>
      </w:r>
      <w:r>
        <w:rPr>
          <w:b/>
        </w:rPr>
        <w:t>pánico</w:t>
      </w:r>
      <w:r>
        <w:t xml:space="preserve"> presenta oleadas abruptas de miedo o malestar con síntomas autonómicos y cognitivos; el síndrome se completa por recurrencia, preocupación anticipatoria o cambios conductuales. La </w:t>
      </w:r>
      <w:r>
        <w:rPr>
          <w:b/>
        </w:rPr>
        <w:t>ansiedad generalizada</w:t>
      </w:r>
      <w:r>
        <w:t xml:space="preserve"> es preocupación excesiva, difícil de controlar y distribuida en varios ámbitos, acompañada de tensión y otros síntomas. La </w:t>
      </w:r>
      <w:r>
        <w:rPr>
          <w:b/>
        </w:rPr>
        <w:t>ansiedad social</w:t>
      </w:r>
      <w:r>
        <w:t xml:space="preserve"> se organiza en torno al escrutinio y la evaluación negativa; las fobias, en torno a objetos o situaciones delimitadas.</w:t>
      </w:r>
    </w:p>
    <w:p>
      <w:r>
        <w:t xml:space="preserve">El </w:t>
      </w:r>
      <w:r>
        <w:rPr>
          <w:b/>
        </w:rPr>
        <w:t>síndrome obsesivo-compulsivo</w:t>
      </w:r>
      <w:r>
        <w:t xml:space="preserve"> combina obsesiones y/o compulsiones con consumo de tiempo, malestar o interferencia. Debe distinguirse de rumiación depresiva, preocupación, hábitos, tics y creencias delirantes. El insight variable no elimina el diagnóstico, pero obliga a una fenomenología cuidadosa.</w:t>
      </w:r>
    </w:p>
    <w:p>
      <w:r>
        <w:t xml:space="preserve">Un </w:t>
      </w:r>
      <w:r>
        <w:rPr>
          <w:b/>
        </w:rPr>
        <w:t>síndrome postraumático</w:t>
      </w:r>
      <w:r>
        <w:t xml:space="preserve"> requiere más que la existencia de adversidad: se examina el tipo de exposición definido por el sistema diagnóstico, intrusión, evitación, cambios cognitivo-afectivos, hiperactivación, duración y deterioro. Disociación, culpa o insomnio después de un evento no equivalen automáticamente a trastorno por estrés postraumático.</w:t>
      </w:r>
    </w:p>
    <w:p>
      <w:pPr>
        <w:pStyle w:val="Heading1"/>
      </w:pPr>
      <w:r>
        <w:t>Síndromes confusional y neurocognitivo</w:t>
      </w:r>
    </w:p>
    <w:p>
      <w:r>
        <w:t xml:space="preserve">El </w:t>
      </w:r>
      <w:r>
        <w:rPr>
          <w:b/>
        </w:rPr>
        <w:t>delirium</w:t>
      </w:r>
      <w:r>
        <w:t xml:space="preserve"> o síndrome confusional es un cambio agudo, habitualmente fluctuante, dominado por alteración de atención y conciencia, acompañado de déficit cognitivo o perceptivo adicional. Es una urgencia etiológica: se presume consecuencia de una condición médica, sustancia, abstinencia o múltiples factores hasta demostrar lo contrario. Puede ser hiperactivo, hipoactivo o mixto; la quietud no lo hace benigno.</w:t>
      </w:r>
    </w:p>
    <w:p>
      <w:r>
        <w:t xml:space="preserve">Un </w:t>
      </w:r>
      <w:r>
        <w:rPr>
          <w:b/>
        </w:rPr>
        <w:t>síndrome neurocognitivo</w:t>
      </w:r>
      <w:r>
        <w:t xml:space="preserve"> implica declive adquirido respecto del funcionamiento previo en uno o más dominios. La repercusión en actividades instrumentales ayuda a estimar gravedad. Delirium y trastorno neurocognitivo pueden coexistir; de hecho, una demencia aumenta el riesgo de delirium. Depresión, sueño, fármacos, déficit sensorial, educación e idioma modifican el rendimiento y deben registrarse.</w:t>
      </w:r>
    </w:p>
    <w:p>
      <w:pPr>
        <w:pStyle w:val="Heading1"/>
      </w:pPr>
      <w:r>
        <w:t>Catatonía, intoxicación y abstinencia</w:t>
      </w:r>
    </w:p>
    <w:p>
      <w:r>
        <w:t xml:space="preserve">La </w:t>
      </w:r>
      <w:r>
        <w:rPr>
          <w:b/>
        </w:rPr>
        <w:t>catatonía</w:t>
      </w:r>
      <w:r>
        <w:t xml:space="preserve"> es un síndrome psicomotor con combinaciones de estupor, mutismo, negativismo, posturas, flexibilidad cérea, agitación no influida por estímulos, ecolalia, ecopraxia y otros signos. Puede acompañar trastornos afectivos, psicóticos, neurológicos o médicos. Fiebre, inestabilidad autonómica, rigidez o deterioro sistémico elevan la urgencia. No debe reducirse a “no habla” ni suponerse exclusiva de esquizofrenia.</w:t>
      </w:r>
    </w:p>
    <w:p>
      <w:r>
        <w:t xml:space="preserve">La </w:t>
      </w:r>
      <w:r>
        <w:rPr>
          <w:b/>
        </w:rPr>
        <w:t>intoxicación</w:t>
      </w:r>
      <w:r>
        <w:t xml:space="preserve"> es un síndrome reversible ligado temporalmente a exposición reciente; la </w:t>
      </w:r>
      <w:r>
        <w:rPr>
          <w:b/>
        </w:rPr>
        <w:t>abstinencia</w:t>
      </w:r>
      <w:r>
        <w:t xml:space="preserve"> aparece tras reducción o suspensión en una persona con adaptación fisiológica. El patrón depende de la sustancia. Compromiso de conciencia, convulsiones, hipertermia, hipoxia, arritmia o inestabilidad autonómica desplazan la prioridad hacia estabilización médica. Un examen toxicológico positivo puede apoyar exposición, pero no establece por sí solo causalidad ni gravedad.</w:t>
      </w:r>
    </w:p>
    <w:p>
      <w:pPr>
        <w:pStyle w:val="Heading1"/>
      </w:pPr>
      <w:r>
        <w:t>Coexistencia, jerarquía y temporalidad</w:t>
      </w:r>
    </w:p>
    <w:p>
      <w:pPr>
        <w:keepNext/>
      </w:pPr>
      <w:r>
        <w:t>Los síndromes no se excluyen mutuamente. Una persona puede presentar manía, psicosis e intoxicación; depresión, ansiedad y consumo; demencia con delirium superpuesto. La tarea no es elegir apresuradamente uno, sino ordenar:</w:t>
      </w:r>
    </w:p>
    <w:p>
      <w:pPr>
        <w:spacing w:after="60" w:line="288" w:lineRule="auto"/>
        <w:ind w:left="432" w:hanging="216"/>
      </w:pPr>
      <w:r>
        <w:t>1. ¿Existe compromiso vital, delirium, intoxicación grave, abstinencia complicada o catatonía?</w:t>
      </w:r>
    </w:p>
    <w:p>
      <w:pPr>
        <w:spacing w:after="60" w:line="288" w:lineRule="auto"/>
        <w:ind w:left="432" w:hanging="216"/>
      </w:pPr>
      <w:r>
        <w:t>2. ¿Hay riesgo suicida, violencia, vulnerabilidad o incapacidad de autocuidado?</w:t>
      </w:r>
    </w:p>
    <w:p>
      <w:pPr>
        <w:spacing w:after="60" w:line="288" w:lineRule="auto"/>
        <w:ind w:left="432" w:hanging="216"/>
      </w:pPr>
      <w:r>
        <w:t>3. ¿Cuál es el síndrome dominante y cuáles son secundarios o concomitantes?</w:t>
      </w:r>
    </w:p>
    <w:p>
      <w:pPr>
        <w:spacing w:after="60" w:line="288" w:lineRule="auto"/>
        <w:ind w:left="432" w:hanging="216"/>
      </w:pPr>
      <w:r>
        <w:t>4. ¿Cuándo comenzó cada componente y qué relación temporal existe entre ellos?</w:t>
      </w:r>
    </w:p>
    <w:p>
      <w:pPr>
        <w:spacing w:after="60" w:line="288" w:lineRule="auto"/>
        <w:ind w:left="432" w:hanging="216"/>
      </w:pPr>
      <w:r>
        <w:t>5. ¿Qué nivel de deterioro produjo y respecto de qué funcionamiento basal?</w:t>
      </w:r>
    </w:p>
    <w:p>
      <w:pPr>
        <w:spacing w:after="60" w:line="288" w:lineRule="auto"/>
        <w:ind w:left="432" w:hanging="216"/>
      </w:pPr>
      <w:r>
        <w:t>6. ¿Qué familias etiológicas pueden explicar el conjunto?</w:t>
      </w:r>
    </w:p>
    <w:p>
      <w:r>
        <w:t>La jerarquía clínica puede diferir del motivo de consulta. La familia puede pedir tratamiento para “la agresividad”, mientras la prioridad es una abstinencia con riesgo convulsivo.</w:t>
      </w:r>
    </w:p>
    <w:p>
      <w:pPr>
        <w:pStyle w:val="Heading2"/>
      </w:pPr>
      <w:r>
        <w:t>Construcción de una representación del problema</w:t>
      </w:r>
    </w:p>
    <w:p>
      <w:r>
        <w:t>Una representación útil condensa edad y contexto, cambio respecto del basal, síndrome dominante, temporalidad, gravedad, exposiciones y datos discriminantes. Debe ser más informativa que una etiqueta y más breve que la anamnesis.</w:t>
      </w:r>
    </w:p>
    <w:p>
      <w:r>
        <w:t>Para Luis: “Hombre de 33 años, previamente funcional, con diez días de menor necesidad de sueño, aumento de actividad, presión del habla, irritabilidad, gastos riesgosos e ideas de referencia, con amenazas crecientes, en contexto de consumo diario de cannabis y exposición reciente a estimulantes”. Esta frase apoya decisiones y abre un diferencial. “Bipolar descompensado” elimina temporalidad, sustancias e incertidumbre; “psicosis por drogas” afirma una causalidad aún no demostrada.</w:t>
      </w:r>
    </w:p>
    <w:p>
      <w:pPr>
        <w:pStyle w:val="Heading1"/>
      </w:pPr>
      <w:r>
        <w:t>Errores frecuentes</w:t>
      </w:r>
    </w:p>
    <w:p>
      <w:pPr>
        <w:pStyle w:val="ListBullet"/>
      </w:pPr>
      <w:r>
        <w:t>Convertir un síntoma cardinal en diagnóstico definitivo.</w:t>
      </w:r>
    </w:p>
    <w:p>
      <w:pPr>
        <w:pStyle w:val="ListBullet"/>
      </w:pPr>
      <w:r>
        <w:t>Llamar depresión a toda tristeza, manía a toda irritabilidad o pánico a toda crisis emocional.</w:t>
      </w:r>
    </w:p>
    <w:p>
      <w:pPr>
        <w:pStyle w:val="ListBullet"/>
      </w:pPr>
      <w:r>
        <w:t>Equiparar psicosis con esquizofrenia.</w:t>
      </w:r>
    </w:p>
    <w:p>
      <w:pPr>
        <w:pStyle w:val="ListBullet"/>
      </w:pPr>
      <w:r>
        <w:t>Interpretar apatía o sedación como síntomas negativos primarios.</w:t>
      </w:r>
    </w:p>
    <w:p>
      <w:pPr>
        <w:pStyle w:val="ListBullet"/>
      </w:pPr>
      <w:r>
        <w:t>Diagnosticar trastorno por estrés postraumático sólo porque existió un evento adverso.</w:t>
      </w:r>
    </w:p>
    <w:p>
      <w:pPr>
        <w:pStyle w:val="ListBullet"/>
      </w:pPr>
      <w:r>
        <w:t>Tratar delirium como una psicosis primaria o ignorar su presentación hipoactiva.</w:t>
      </w:r>
    </w:p>
    <w:p>
      <w:pPr>
        <w:pStyle w:val="ListBullet"/>
      </w:pPr>
      <w:r>
        <w:t>Suponer que catatonía pertenece sólo a la esquizofrenia.</w:t>
      </w:r>
    </w:p>
    <w:p>
      <w:pPr>
        <w:pStyle w:val="ListBullet"/>
      </w:pPr>
      <w:r>
        <w:t>Forzar un único síndrome cuando el caso muestra coexistencia.</w:t>
      </w:r>
    </w:p>
    <w:p>
      <w:pPr>
        <w:pStyle w:val="Heading1"/>
      </w:pPr>
      <w:r>
        <w:t>Para recordar</w:t>
      </w:r>
    </w:p>
    <w:p>
      <w:pPr>
        <w:spacing w:after="60" w:line="288" w:lineRule="auto"/>
        <w:ind w:left="432" w:hanging="216"/>
        <w:shd w:fill="EAF6F3"/>
        <w:keepNext/>
        <w:keepLines/>
        <w:pBdr>
          <w:left w:val="single" w:sz="8" w:space="8" w:color="2A8C82"/>
        </w:pBdr>
      </w:pPr>
      <w:r>
        <w:t>1. El síndrome organiza los datos, pero no demuestra el trastorno ni la etiología.</w:t>
      </w:r>
    </w:p>
    <w:p>
      <w:pPr>
        <w:spacing w:after="60" w:line="288" w:lineRule="auto"/>
        <w:ind w:left="432" w:hanging="216"/>
        <w:shd w:fill="EAF6F3"/>
        <w:keepNext/>
        <w:keepLines/>
        <w:pBdr>
          <w:left w:val="single" w:sz="8" w:space="8" w:color="2A8C82"/>
        </w:pBdr>
      </w:pPr>
      <w:r>
        <w:t>2. Temporalidad, cambio respecto del basal e interferencia forman parte de la descripción.</w:t>
      </w:r>
    </w:p>
    <w:p>
      <w:pPr>
        <w:spacing w:after="60" w:line="288" w:lineRule="auto"/>
        <w:ind w:left="432" w:hanging="216"/>
        <w:shd w:fill="EAF6F3"/>
        <w:keepNext/>
        <w:keepLines/>
        <w:pBdr>
          <w:left w:val="single" w:sz="8" w:space="8" w:color="2A8C82"/>
        </w:pBdr>
      </w:pPr>
      <w:r>
        <w:t>3. Los síndromes pueden coexistir y deben ordenarse por urgencia y consecuencias.</w:t>
      </w:r>
    </w:p>
    <w:p>
      <w:pPr>
        <w:spacing w:after="60" w:line="288" w:lineRule="auto"/>
        <w:ind w:left="432" w:hanging="216"/>
        <w:shd w:fill="EAF6F3"/>
        <w:keepNext/>
        <w:keepLines/>
        <w:pBdr>
          <w:left w:val="single" w:sz="8" w:space="8" w:color="2A8C82"/>
        </w:pBdr>
      </w:pPr>
      <w:r>
        <w:t>4. Delirium, catatonía e intoxicaciones o abstinencias graves anteceden a la elegancia diagnóstica.</w:t>
      </w:r>
    </w:p>
    <w:p>
      <w:pPr>
        <w:spacing w:after="60" w:line="288" w:lineRule="auto"/>
        <w:ind w:left="432" w:hanging="216"/>
        <w:shd w:fill="EAF6F3"/>
        <w:keepLines/>
        <w:pBdr>
          <w:left w:val="single" w:sz="8" w:space="8" w:color="2A8C82"/>
        </w:pBdr>
      </w:pPr>
      <w:r>
        <w:t>5. Una buena representación conserva los datos que podrían cambiar el diagnóstico o la conducta.</w:t>
      </w:r>
    </w:p>
    <w:p>
      <w:pPr>
        <w:pStyle w:val="Heading1"/>
      </w:pPr>
      <w:r>
        <w:t>Bibliografía esencial</w:t>
      </w:r>
    </w:p>
    <w:p>
      <w:pPr>
        <w:pStyle w:val="Bibliography"/>
      </w:pPr>
      <w:r>
        <w:t xml:space="preserve">• American Psychiatric Association. </w:t>
      </w:r>
      <w:r>
        <w:rPr>
          <w:i/>
        </w:rPr>
        <w:t>Diagnostic and Statistical Manual of Mental Disorders: DSM-5-TR</w:t>
      </w:r>
      <w:r>
        <w:t>. American Psychiatric Association Publishing; 2022.</w:t>
      </w:r>
    </w:p>
    <w:p>
      <w:pPr>
        <w:pStyle w:val="Bibliography"/>
      </w:pPr>
      <w:r>
        <w:t xml:space="preserve">• World Health Organization. </w:t>
      </w:r>
      <w:r>
        <w:rPr>
          <w:i/>
        </w:rPr>
        <w:t>Clinical Descriptions and Diagnostic Requirements for ICD-11 Mental, Behavioural and Neurodevelopmental Disorders</w:t>
      </w:r>
      <w:r>
        <w:t xml:space="preserve">. World Health Organization; 2024. </w:t>
      </w:r>
      <w:hyperlink r:id="rId14">
        <w:r>
          <w:rPr>
            <w:color w:val="246B8E"/>
            <w:u w:val="single"/>
          </w:rPr>
          <w:t>Publicación oficial</w:t>
        </w:r>
      </w:hyperlink>
      <w:r>
        <w:t>.</w:t>
      </w:r>
    </w:p>
    <w:p>
      <w:pPr>
        <w:pStyle w:val="Bibliography"/>
      </w:pPr>
      <w:r>
        <w:t xml:space="preserve">• Oyebode F. </w:t>
      </w:r>
      <w:r>
        <w:rPr>
          <w:i/>
        </w:rPr>
        <w:t>Sims’ Symptoms in the Mind: Textbook of Descriptive Psychopathology</w:t>
      </w:r>
      <w:r>
        <w:t>. 7th ed. Elsevier; 2022.</w:t>
      </w:r>
    </w:p>
    <w:p>
      <w:pPr>
        <w:pStyle w:val="Bibliography"/>
      </w:pPr>
      <w:r>
        <w:t xml:space="preserve">• Casey P, Kelly B. </w:t>
      </w:r>
      <w:r>
        <w:rPr>
          <w:i/>
        </w:rPr>
        <w:t>Fish’s Clinical Psychopathology: Signs and Symptoms in Psychiatry</w:t>
      </w:r>
      <w:r>
        <w:t>. 4th ed. Cambridge University Press; 2019.</w:t>
      </w:r>
    </w:p>
    <w:p>
      <w:r>
        <w:br w:type="page"/>
      </w:r>
    </w:p>
    <w:p>
      <w:pPr>
        <w:spacing w:after="480"/>
      </w:pPr>
      <w:r>
        <w:rPr>
          <w:rFonts w:ascii="Calibri" w:hAnsi="Calibri"/>
          <w:b/>
          <w:color w:val="2A8C82"/>
          <w:sz w:val="20"/>
        </w:rPr>
        <w:t>CAPÍTULO 09 · MATERIAL PARA ESTUDIANTES</w:t>
      </w:r>
    </w:p>
    <w:tbl>
      <w:tblPr>
        <w:tblW w:type="auto" w:w="0"/>
        <w:jc w:val="left"/>
        <w:tblLayout w:type="fixed"/>
        <w:tblLook w:firstColumn="1" w:firstRow="1" w:lastColumn="0" w:lastRow="0" w:noHBand="0" w:noVBand="1" w:val="04A0"/>
      </w:tblPr>
      <w:tblGrid>
        <w:gridCol w:w="9648"/>
      </w:tblGrid>
      <w:tr>
        <w:trPr>
          <w:tblHeader w:val="true"/>
        </w:trPr>
        <w:tc>
          <w:tcPr>
            <w:tcW w:type="dxa" w:w="9072"/>
            <w:shd w:fill="173A5E"/>
            <w:tcMar>
              <w:top w:w="120" w:type="dxa"/>
              <w:start w:w="220" w:type="dxa"/>
              <w:bottom w:w="120" w:type="dxa"/>
              <w:end w:w="220" w:type="dxa"/>
            </w:tcMar>
          </w:tcPr>
          <w:p>
            <w:pPr>
              <w:spacing w:after="0"/>
            </w:pPr>
            <w:r>
              <w:rPr>
                <w:rFonts w:ascii="Calibri" w:hAnsi="Calibri"/>
                <w:b/>
                <w:color w:val="FFFFFF"/>
                <w:sz w:val="19"/>
              </w:rPr>
              <w:t>MÓDULO I · ENTREVISTA, EXAMEN MENTAL Y RAZONAMIENTO CLÍNICO</w:t>
            </w:r>
          </w:p>
        </w:tc>
      </w:tr>
    </w:tbl>
    <w:p>
      <w:pPr>
        <w:pStyle w:val="Title"/>
        <w:spacing w:before="520" w:after="360"/>
        <w:outlineLvl w:val="0"/>
      </w:pPr>
      <w:bookmarkStart w:id="1009" w:name="chapter_09"/>
      <w:r>
        <w:t>Razonamiento diagnóstico y descarte de causas médicas, farmacológicas y por sustancias</w:t>
      </w:r>
      <w:bookmarkEnd w:id="1009"/>
    </w:p>
    <w:p>
      <w:pPr>
        <w:spacing w:after="80"/>
      </w:pPr>
      <w:r>
        <w:rPr>
          <w:rFonts w:ascii="Calibri" w:hAnsi="Calibri"/>
          <w:b/>
          <w:color w:val="246B8E"/>
          <w:sz w:val="26"/>
        </w:rPr>
        <w:t>Programa de Psiquiatría para internos de Medicina</w:t>
      </w:r>
    </w:p>
    <w:p>
      <w:r>
        <w:rPr>
          <w:rFonts w:ascii="Calibri" w:hAnsi="Calibri"/>
          <w:color w:val="6B7280"/>
          <w:sz w:val="22"/>
        </w:rPr>
        <w:t>Lectura complementaria · Chile · Versión final para revisión humana · 2026</w:t>
      </w:r>
    </w:p>
    <w:p/>
    <w:p/>
    <w:p/>
    <w:p/>
    <w:p/>
    <w:tbl>
      <w:tblPr>
        <w:tblW w:type="auto" w:w="0"/>
        <w:jc w:val="left"/>
        <w:tblLayout w:type="fixed"/>
        <w:tblLook w:firstColumn="1" w:firstRow="1" w:lastColumn="0" w:lastRow="0" w:noHBand="0" w:noVBand="1" w:val="04A0"/>
      </w:tblPr>
      <w:tblGrid>
        <w:gridCol w:w="9648"/>
      </w:tblGrid>
      <w:tr>
        <w:trPr>
          <w:tblHeader w:val="true"/>
        </w:trPr>
        <w:tc>
          <w:tcPr>
            <w:tcW w:type="dxa" w:w="9648"/>
            <w:shd w:fill="F3F5F6"/>
            <w:tcBorders>
              <w:start w:val="single" w:sz="18" w:color="2A8C82"/>
            </w:tcBorders>
            <w:tcMar>
              <w:top w:w="160" w:type="dxa"/>
              <w:start w:w="220" w:type="dxa"/>
              <w:bottom w:w="160" w:type="dxa"/>
              <w:end w:w="220" w:type="dxa"/>
            </w:tcMar>
          </w:tcPr>
          <w:p>
            <w:pPr>
              <w:spacing w:after="0"/>
            </w:pPr>
            <w:r>
              <w:rPr>
                <w:rFonts w:ascii="Calibri" w:hAnsi="Calibri"/>
                <w:i/>
                <w:color w:val="6B7280"/>
                <w:sz w:val="18"/>
              </w:rPr>
              <w:t>Versión docente final para revisión humana. Material propuesto y contextualizado a Chile; no corresponde a un programa oficial de la Pontificia Universidad Católica de Chile ni sustituye protocolos locales, supervisión clínica o evaluación especializada. Fuentes revisadas al 15 de agosto de 2026.</w:t>
            </w:r>
          </w:p>
        </w:tc>
      </w:tr>
    </w:tbl>
    <w:p>
      <w:r>
        <w:br w:type="page"/>
      </w:r>
    </w:p>
    <w:tbl>
      <w:tblPr>
        <w:tblW w:type="auto" w:w="0"/>
        <w:jc w:val="center"/>
        <w:tblLayout w:type="autofit"/>
        <w:tblLook w:firstColumn="1" w:firstRow="1" w:lastColumn="0" w:lastRow="0" w:noHBand="0" w:noVBand="1" w:val="04A0"/>
      </w:tblPr>
      <w:tblGrid>
        <w:gridCol w:w="9648"/>
      </w:tblGrid>
      <w:tr>
        <w:trPr>
          <w:tblHeader w:val="true"/>
        </w:trPr>
        <w:tc>
          <w:tcPr>
            <w:tcW w:type="dxa" w:w="9648"/>
            <w:vAlign w:val="center"/>
            <w:shd w:fill="EAF3F7"/>
            <w:tcBorders>
              <w:start w:val="single" w:sz="14" w:color="2A8C82"/>
            </w:tcBorders>
            <w:tcMar>
              <w:top w:w="130" w:type="dxa"/>
              <w:start w:w="190" w:type="dxa"/>
              <w:bottom w:w="130" w:type="dxa"/>
              <w:end w:w="190" w:type="dxa"/>
            </w:tcMar>
          </w:tcPr>
          <w:p>
            <w:pPr>
              <w:spacing w:after="0"/>
            </w:pPr>
            <w:r>
              <w:rPr>
                <w:b/>
                <w:color w:val="173A5E"/>
              </w:rPr>
              <w:t xml:space="preserve">PREGUNTA CLÍNICA  </w:t>
            </w:r>
            <w:r>
              <w:t>¿Cuándo un cuadro aparentemente psiquiátrico obliga a buscar activamente otra causa y cómo seleccionar estudios que realmente cambien la conducta?</w:t>
            </w:r>
          </w:p>
        </w:tc>
      </w:tr>
    </w:tbl>
    <w:p>
      <w:pPr>
        <w:spacing w:after="0"/>
      </w:pPr>
    </w:p>
    <w:tbl>
      <w:tblPr>
        <w:tblW w:type="auto" w:w="0"/>
        <w:jc w:val="center"/>
        <w:tblLayout w:type="autofit"/>
        <w:tblLook w:firstColumn="1" w:firstRow="1" w:lastColumn="0" w:lastRow="0" w:noHBand="0" w:noVBand="1" w:val="04A0"/>
      </w:tblPr>
      <w:tblGrid>
        <w:gridCol w:w="9648"/>
      </w:tblGrid>
      <w:tr>
        <w:trPr>
          <w:tblHeader w:val="true"/>
        </w:trPr>
        <w:tc>
          <w:tcPr>
            <w:tcW w:type="dxa" w:w="9648"/>
            <w:vAlign w:val="center"/>
            <w:shd w:fill="EAF6F3"/>
            <w:tcBorders>
              <w:start w:val="single" w:sz="14" w:color="2A8C82"/>
            </w:tcBorders>
            <w:tcMar>
              <w:top w:w="130" w:type="dxa"/>
              <w:start w:w="190" w:type="dxa"/>
              <w:bottom w:w="130" w:type="dxa"/>
              <w:end w:w="190" w:type="dxa"/>
            </w:tcMar>
          </w:tcPr>
          <w:p>
            <w:pPr>
              <w:spacing w:after="0"/>
            </w:pPr>
            <w:r>
              <w:rPr>
                <w:b/>
                <w:color w:val="173A5E"/>
              </w:rPr>
              <w:t xml:space="preserve">IDEA CENTRAL  </w:t>
            </w:r>
            <w:r>
              <w:t>“Descartar organicidad” no es solicitar una batería universal. Es definir el síndrome y su temporalidad, construir hipótesis etiológicas plausibles, buscar señales discriminantes y vincular cada examen con una decisión clínica.</w:t>
            </w:r>
          </w:p>
        </w:tc>
      </w:tr>
    </w:tbl>
    <w:p>
      <w:pPr>
        <w:spacing w:after="0"/>
      </w:pPr>
    </w:p>
    <w:p>
      <w:pPr>
        <w:pStyle w:val="Heading1"/>
      </w:pPr>
      <w:r>
        <w:t>Por qué importa</w:t>
      </w:r>
    </w:p>
    <w:p>
      <w:r>
        <w:t>Los síntomas psiquiátricos pueden ser la primera manifestación de una enfermedad médica, una intoxicación, una abstinencia o un efecto farmacológico. A la inversa, encontrar hipotiroidismo leve, cannabis en orina o un estresor no prueba que ese hallazgo explique el cuadro completo. Los dos errores —no estudiar lo necesario y atribuir causalidad a cualquier resultado anormal— son frecuentes.</w:t>
      </w:r>
    </w:p>
    <w:p>
      <w:r>
        <w:t>La evaluación debe ser suficientemente amplia para no omitir condiciones graves y suficientemente dirigida para evitar cascadas de falsos positivos, costos y demoras. La edad, el lugar de atención, la estabilidad fisiológica, el tipo de síndrome y el tratamiento proyectado determinan el estudio; no existe un “panel psiquiátrico” válido para todos.</w:t>
      </w:r>
    </w:p>
    <w:p>
      <w:pPr>
        <w:pStyle w:val="Heading1"/>
      </w:pPr>
      <w:r>
        <w:t>Objetivos de aprendizaje</w:t>
      </w:r>
    </w:p>
    <w:p>
      <w:pPr>
        <w:keepNext/>
      </w:pPr>
      <w:r>
        <w:t>Al finalizar este capítulo, el estudiante podrá:</w:t>
      </w:r>
    </w:p>
    <w:p>
      <w:pPr>
        <w:spacing w:after="60" w:line="288" w:lineRule="auto"/>
        <w:ind w:left="432" w:hanging="216"/>
      </w:pPr>
      <w:r>
        <w:t>1. Construir un diagnóstico diferencial jerarquizado por probabilidad, gravedad y tratabilidad.</w:t>
      </w:r>
    </w:p>
    <w:p>
      <w:pPr>
        <w:spacing w:after="60" w:line="288" w:lineRule="auto"/>
        <w:ind w:left="432" w:hanging="216"/>
      </w:pPr>
      <w:r>
        <w:t>2. Diferenciar trastorno primario, cuadro inducido y síntomas atribuibles a otra condición médica.</w:t>
      </w:r>
    </w:p>
    <w:p>
      <w:pPr>
        <w:spacing w:after="60" w:line="288" w:lineRule="auto"/>
        <w:ind w:left="432" w:hanging="216"/>
      </w:pPr>
      <w:r>
        <w:t>3. Reconocer señales de alarma de etiología médica o neurológica.</w:t>
      </w:r>
    </w:p>
    <w:p>
      <w:pPr>
        <w:spacing w:after="60" w:line="288" w:lineRule="auto"/>
        <w:ind w:left="432" w:hanging="216"/>
      </w:pPr>
      <w:r>
        <w:t>4. Incorporar signos vitales y examen físico-neurológico a la evaluación psiquiátrica.</w:t>
      </w:r>
    </w:p>
    <w:p>
      <w:pPr>
        <w:spacing w:after="60" w:line="288" w:lineRule="auto"/>
        <w:ind w:left="432" w:hanging="216"/>
      </w:pPr>
      <w:r>
        <w:t>5. Seleccionar exámenes según hipótesis y decisiones terapéuticas concretas.</w:t>
      </w:r>
    </w:p>
    <w:p>
      <w:pPr>
        <w:spacing w:after="60" w:line="288" w:lineRule="auto"/>
        <w:ind w:left="432" w:hanging="216"/>
      </w:pPr>
      <w:r>
        <w:t>6. Interpretar con cautela tamizajes toxicológicos y relaciones temporales.</w:t>
      </w:r>
    </w:p>
    <w:p>
      <w:pPr>
        <w:spacing w:after="60" w:line="288" w:lineRule="auto"/>
        <w:ind w:left="432" w:hanging="216"/>
      </w:pPr>
      <w:r>
        <w:t>7. Identificar anclaje, cierre prematuro y otros sesgos, y aplicar estrategias de corrección.</w:t>
      </w:r>
    </w:p>
    <w:p>
      <w:pPr>
        <w:pStyle w:val="Heading1"/>
      </w:pPr>
      <w:r>
        <w:t>Caso clínico</w:t>
      </w:r>
    </w:p>
    <w:p>
      <w:pPr>
        <w:shd w:fill="EAF3F7"/>
        <w:keepNext/>
        <w:keepLines/>
        <w:pBdr>
          <w:left w:val="single" w:sz="8" w:space="8" w:color="246B8E"/>
        </w:pBdr>
        <w:ind w:left="173" w:right="86"/>
      </w:pPr>
      <w:r>
        <w:t>Ricardo, de 58 años y sin antecedentes psiquiátricos, desarrolla en tres semanas insomnio, irritabilidad, inquietud y suspicacia. Ha bajado siete kilos, presenta temblor fino y frecuencia cardíaca de 118 por minuto. Hace un mes duplicó por cuenta propia un suplemento “metabólico” comprado en internet. Su esposa refiere que, además, comenzó a usar descongestionantes por una rinitis persistente.</w:t>
      </w:r>
    </w:p>
    <w:p>
      <w:pPr>
        <w:shd w:fill="EAF3F7"/>
        <w:keepLines/>
        <w:pBdr>
          <w:left w:val="single" w:sz="8" w:space="8" w:color="246B8E"/>
        </w:pBdr>
        <w:ind w:left="173" w:right="86"/>
      </w:pPr>
      <w:r>
        <w:t>El primer episodio tardío, el cambio rápido, la pérdida de peso, la taquicardia y el temblor obligan a evaluar una causa endocrina, farmacológica o tóxica antes de concluir “ansiedad con rasgos paranoides”. Ello no excluye que exista simultáneamente un trastorno psiquiátrico.</w:t>
      </w:r>
    </w:p>
    <w:p>
      <w:pPr>
        <w:pStyle w:val="Heading1"/>
      </w:pPr>
      <w:r>
        <w:t>Del síndrome al diferencial jerarquizado</w:t>
      </w:r>
    </w:p>
    <w:p>
      <w:r>
        <w:t>El punto de partida es una representación sindromática: qué cambió, desde cuándo, respecto de qué basal, con qué gravedad y en qué contexto. Luego se abren al menos cuatro familias de hipótesis: trastorno psiquiátrico primario; enfermedad médica o neurológica; medicamento o tóxico; e intoxicación o abstinencia de sustancias. Factores de sueño, estrés y entorno pueden precipitar o perpetuar cualquiera de ellas.</w:t>
      </w:r>
    </w:p>
    <w:p>
      <w:r>
        <w:t>Las hipótesis se ordenan mediante tres preguntas: ¿qué es más probable?, ¿qué sería peligroso omitir?, y ¿qué es tratable ahora? Una causa rara puede subir en prioridad si sus consecuencias son graves y existen datos específicos. El objetivo de nuevas preguntas o exámenes es cambiar probabilidades entre hipótesis, no acumular confirmaciones de la favorita.</w:t>
      </w:r>
    </w:p>
    <w:p>
      <w:r>
        <w:t>La dicotomía “orgánico versus funcional” es conceptualmente pobre. Todo fenómeno mental tiene correlatos biológicos; la pregunta clínica es si una condición identificable explica causalmente el síndrome, contribuye a él o es incidental. También puede haber comorbilidad: una persona con epilepsia puede desarrollar depresión primaria y otra con esquizofrenia puede presentar delirium.</w:t>
      </w:r>
    </w:p>
    <w:p>
      <w:pPr>
        <w:pStyle w:val="Heading1"/>
      </w:pPr>
      <w:r>
        <w:t>Señales que elevan la sospecha de una causa secundaria</w:t>
      </w:r>
    </w:p>
    <w:p>
      <w:pPr>
        <w:keepNext/>
      </w:pPr>
      <w:r>
        <w:t>Ninguna señal aislada demuestra etiología, pero el conjunto modifica el umbral de estudio:</w:t>
      </w:r>
    </w:p>
    <w:p>
      <w:pPr>
        <w:pStyle w:val="ListBullet"/>
      </w:pPr>
      <w:r>
        <w:t>Inicio abrupto, fluctuación marcada o progresión inusualmente rápida.</w:t>
      </w:r>
    </w:p>
    <w:p>
      <w:pPr>
        <w:pStyle w:val="ListBullet"/>
      </w:pPr>
      <w:r>
        <w:t>Primer episodio a una edad o en una etapa vital atípica para el síndrome.</w:t>
      </w:r>
    </w:p>
    <w:p>
      <w:pPr>
        <w:pStyle w:val="ListBullet"/>
      </w:pPr>
      <w:r>
        <w:t>Alteración de alerta, inatención, desorientación o deterioro cognitivo acelerado.</w:t>
      </w:r>
    </w:p>
    <w:p>
      <w:pPr>
        <w:pStyle w:val="ListBullet"/>
      </w:pPr>
      <w:r>
        <w:t>Déficit neurológico focal, convulsiones, cefalea nueva, alteración de marcha o movimientos anormales.</w:t>
      </w:r>
    </w:p>
    <w:p>
      <w:pPr>
        <w:pStyle w:val="ListBullet"/>
      </w:pPr>
      <w:r>
        <w:t>Fiebre, hipoxia, hipoglicemia, deshidratación o inestabilidad autonómica.</w:t>
      </w:r>
    </w:p>
    <w:p>
      <w:pPr>
        <w:pStyle w:val="ListBullet"/>
      </w:pPr>
      <w:r>
        <w:t>Catatonía, rigidez, hipertermia o disminución de conciencia.</w:t>
      </w:r>
    </w:p>
    <w:p>
      <w:pPr>
        <w:pStyle w:val="ListBullet"/>
      </w:pPr>
      <w:r>
        <w:t>Síntomas visuales prominentes de inicio agudo o fenómenos estereotipados.</w:t>
      </w:r>
    </w:p>
    <w:p>
      <w:pPr>
        <w:pStyle w:val="ListBullet"/>
      </w:pPr>
      <w:r>
        <w:t>Cambio de personalidad tardío, síntomas sistémicos o pérdida de peso no explicada.</w:t>
      </w:r>
    </w:p>
    <w:p>
      <w:pPr>
        <w:pStyle w:val="ListBullet"/>
      </w:pPr>
      <w:r>
        <w:t>Polifarmacia, cambio reciente de dosis, suplemento nuevo, exposición ocupacional o interrupción brusca de una sustancia.</w:t>
      </w:r>
    </w:p>
    <w:p>
      <w:pPr>
        <w:pStyle w:val="ListBullet"/>
      </w:pPr>
      <w:r>
        <w:t>Presentación que no encaja con el curso esperado o respuesta paradójica al tratamiento.</w:t>
      </w:r>
    </w:p>
    <w:p>
      <w:r>
        <w:t>Un cuadro rápidamente progresivo con convulsiones, disquinesias, catatonía, disautonomía o alteración de conciencia exige considerar encefalitis y otras causas neurológicas. No justifica pedir anticuerpos autoinmunes a toda primera psicosis: justifica evaluación especializada y estudio de líquido cefalorraquídeo, electroencefalograma o imagen cuando el patrón clínico lo sustenta.</w:t>
      </w:r>
    </w:p>
    <w:p>
      <w:pPr>
        <w:pStyle w:val="Heading1"/>
      </w:pPr>
      <w:r>
        <w:t>Historia de exposiciones: preguntar mejor</w:t>
      </w:r>
    </w:p>
    <w:p>
      <w:r>
        <w:t>La cronología debe vincular síntomas con inicio, aumento, reducción o suspensión de exposiciones. Además de alcohol y drogas, se revisan medicamentos prescritos, automedicación, productos naturales, suplementos, energizantes y fármacos ajenos. Corticoides, anticolinérgicos, agonistas dopaminérgicos, estimulantes, algunos anticonvulsivantes, medicamentos tiroideos y múltiples combinaciones pueden contribuir a síntomas mentales según dosis y vulnerabilidad. Esta lista orienta; no reemplaza revisar el producto real.</w:t>
      </w:r>
    </w:p>
    <w:p>
      <w:r>
        <w:t>Conviene solicitar envases, receta electrónica o confirmación de farmacia cuando hay polifarmacia. Se pregunta por cantidad, frecuencia, vía, última dosis, patrón de escalamiento, períodos de abstinencia y consecuencias. “Consume ocasionalmente” informa poco. La negación inicial puede reflejar temor, vergüenza, deterioro cognitivo o desconocimiento de lo que contenía un producto; se explora sin tono policial.</w:t>
      </w:r>
    </w:p>
    <w:p>
      <w:pPr>
        <w:pStyle w:val="Heading1"/>
      </w:pPr>
      <w:r>
        <w:t>Examen físico y neurológico como parte de la psiquiatría</w:t>
      </w:r>
    </w:p>
    <w:p>
      <w:r>
        <w:t>Antes de una extensa entrevista se evalúa estabilidad: vía aérea, respiración, circulación, nivel de conciencia, signos vitales, glicemia y saturación cuando corresponda. Agitación, mutismo o conducta extraña pueden ser manifestaciones de hipoxia, hipoglicemia, sepsis, intoxicación o lesión neurológica.</w:t>
      </w:r>
    </w:p>
    <w:p>
      <w:r>
        <w:t>El examen general busca hidratación, nutrición, trauma, infección, estigmas de consumo, signos endocrinos y toxidromes. El examen neurológico se adapta al caso e incluye alerta y atención, pares craneales, fuerza, tono, reflejos, sensibilidad, coordinación, marcha, movimientos anormales y signos meníngeos cuando están indicados. No todo paciente requiere un examen exhaustivo, pero omitirlo por considerar el problema “psiquiátrico” es un error de categoría.</w:t>
      </w:r>
    </w:p>
    <w:p>
      <w:r>
        <w:t>Los hallazgos negativos también importan si fueron buscados y afectan una hipótesis: “afebril, sin rigidez ni focalidad, atención sostenida” es más útil que “examen físico normal”.</w:t>
      </w:r>
    </w:p>
    <w:p>
      <w:pPr>
        <w:pStyle w:val="Heading1"/>
      </w:pPr>
      <w:r>
        <w:t>Selección razonada de estudios</w:t>
      </w:r>
    </w:p>
    <w:p>
      <w:r>
        <w:t>No hay una batería obligatoria para toda presentación. Hemograma, electrolitos, función renal y hepática, glicemia, calcio, hormona tiroestimulante, prueba de embarazo, vitamina B12, VIH o sífilis pueden ser pertinentes según síndrome, antecedentes, examen, población y tratamiento previsto. La decisión debe considerar consentimiento, consecuencias y prevalencia local; enumerarlos no significa pedirlos a todos.</w:t>
      </w:r>
    </w:p>
    <w:p>
      <w:r>
        <w:t>En una primera psicosis suelen ser necesarios evaluación médica, mediciones basales metabólicas y estudios dirigidos a causas secundarias, además de lo requerido para usar antipsicóticos con seguridad. Un electrocardiograma se indica según riesgo cardiovascular, fármaco y combinaciones. Niveles plasmáticos de litio, valproato u otros son útiles ante toxicidad, respuesta inesperada, interacción o evaluación de adherencia.</w:t>
      </w:r>
    </w:p>
    <w:p>
      <w:r>
        <w:t>La neuroimagen se prioriza ante focalidad, trauma, convulsión, cefalea nueva, inicio atípico, deterioro rápido o sospecha estructural. El electroencefalograma es pertinente ante epilepsia, estado no convulsivo o encefalopatía seleccionada. Punción lumbar y estudios infecciosos o autoinmunes requieren una hipótesis sustentada. Una regla práctica es escribir antes de pedir: “si el resultado es A haré X; si es B haré Y”. Si nada cambiaría, debe reconsiderarse la solicitud.</w:t>
      </w:r>
    </w:p>
    <w:p>
      <w:pPr>
        <w:pStyle w:val="Heading1"/>
      </w:pPr>
      <w:r>
        <w:t>Toxicología: exposición no es causalidad</w:t>
      </w:r>
    </w:p>
    <w:p>
      <w:r>
        <w:t>Los inmunoensayos urinarios tienen ventanas de detección variables, reactividad cruzada, falsos positivos y falsos negativos. Pueden omitir sustancias sintéticas relevantes y detectar metabolitos mucho después de que terminó el efecto clínico. Un resultado presuntamente positivo debe interpretarse como exposición compatible con las limitaciones del ensayo y, si la decisión depende de él, confirmarse mediante un método específico; no demuestra intoxicación actual ni que la sustancia explique toda la psicosis. Un resultado negativo tampoco descarta consumo.</w:t>
      </w:r>
    </w:p>
    <w:p>
      <w:r>
        <w:t xml:space="preserve">La causalidad se fortalece cuando la exposición precede al síndrome con una latencia plausible, existe relación con dosis, el patrón es compatible, mejora tras el retiro y las alternativas son menos convincentes. Un </w:t>
      </w:r>
      <w:r>
        <w:rPr>
          <w:i/>
        </w:rPr>
        <w:t>rechallenge</w:t>
      </w:r>
      <w:r>
        <w:t xml:space="preserve"> accidental aporta información, pero no se provoca deliberadamente. La persistencia tras abstinencia puede reflejar eliminación prolongada, daño persistente, un trastorno primario precipitado o información incompleta; exige seguimiento.</w:t>
      </w:r>
    </w:p>
    <w:p>
      <w:pPr>
        <w:pStyle w:val="Heading1"/>
      </w:pPr>
      <w:r>
        <w:t>Sesgos y reevaluación longitudinal</w:t>
      </w:r>
    </w:p>
    <w:p>
      <w:r>
        <w:t xml:space="preserve">El </w:t>
      </w:r>
      <w:r>
        <w:rPr>
          <w:b/>
        </w:rPr>
        <w:t>anclaje</w:t>
      </w:r>
      <w:r>
        <w:t xml:space="preserve"> fija la primera etiqueta; el </w:t>
      </w:r>
      <w:r>
        <w:rPr>
          <w:b/>
        </w:rPr>
        <w:t>cierre prematuro</w:t>
      </w:r>
      <w:r>
        <w:t xml:space="preserve"> detiene la búsqueda al hallar una explicación plausible; el </w:t>
      </w:r>
      <w:r>
        <w:rPr>
          <w:b/>
        </w:rPr>
        <w:t>sesgo de confirmación</w:t>
      </w:r>
      <w:r>
        <w:t xml:space="preserve"> privilegia datos favorables; la </w:t>
      </w:r>
      <w:r>
        <w:rPr>
          <w:b/>
        </w:rPr>
        <w:t>disponibilidad</w:t>
      </w:r>
      <w:r>
        <w:t xml:space="preserve"> sobredimensiona diagnósticos recientes; y el </w:t>
      </w:r>
      <w:r>
        <w:rPr>
          <w:b/>
        </w:rPr>
        <w:t>ensombrecimiento diagnóstico</w:t>
      </w:r>
      <w:r>
        <w:t xml:space="preserve"> atribuye síntomas físicos nuevos al trastorno mental conocido.</w:t>
      </w:r>
    </w:p>
    <w:p>
      <w:r>
        <w:t>Para reducirlos, se realiza una pausa diagnóstica: ¿qué dato no explica mi hipótesis?, ¿qué alternativa peligrosa debo excluir?, ¿qué cambió con medicamentos o sustancias?, ¿qué esperaba observar y no está? La reevaluación tras estabilización, sueño, abstinencia o tratamiento médico forma parte del diagnóstico. La incertidumbre bien documentada es más segura que una certeza prematura.</w:t>
      </w:r>
    </w:p>
    <w:p>
      <w:pPr>
        <w:pStyle w:val="Heading2"/>
      </w:pPr>
      <w:r>
        <w:t>Integración del caso</w:t>
      </w:r>
    </w:p>
    <w:p>
      <w:r>
        <w:t>Ricardo requiere evaluación de estabilidad, examen físico-neurológico y precisión de los productos consumidos. Taquicardia, temblor y pérdida de peso sostienen hipótesis como tirotoxicosis o exposición simpaticomimética y orientan exámenes endocrinos y toxicológicos específicos. Retirar una exposición riesgosa debe hacerse con criterio clínico, no como experimento. Si los síntomas persistieran luego de corregir la causa sospechada, se reabriría el diferencial psiquiátrico.</w:t>
      </w:r>
    </w:p>
    <w:p>
      <w:pPr>
        <w:pStyle w:val="Heading1"/>
      </w:pPr>
      <w:r>
        <w:t>Errores frecuentes</w:t>
      </w:r>
    </w:p>
    <w:p>
      <w:pPr>
        <w:pStyle w:val="ListBullet"/>
      </w:pPr>
      <w:r>
        <w:t>Usar “organicidad” como sustituto de una hipótesis concreta.</w:t>
      </w:r>
    </w:p>
    <w:p>
      <w:pPr>
        <w:pStyle w:val="ListBullet"/>
      </w:pPr>
      <w:r>
        <w:t>Omitir signos vitales o examen neurológico por el motivo psiquiátrico.</w:t>
      </w:r>
    </w:p>
    <w:p>
      <w:pPr>
        <w:pStyle w:val="ListBullet"/>
      </w:pPr>
      <w:r>
        <w:t>Pedir estudios indiscriminados sin anticipar qué decisión modificarán.</w:t>
      </w:r>
    </w:p>
    <w:p>
      <w:pPr>
        <w:pStyle w:val="ListBullet"/>
      </w:pPr>
      <w:r>
        <w:t>Interpretar toxicología positiva como prueba causal suficiente.</w:t>
      </w:r>
    </w:p>
    <w:p>
      <w:pPr>
        <w:pStyle w:val="ListBullet"/>
      </w:pPr>
      <w:r>
        <w:t>Suponer que un resultado levemente anormal explica un síndrome complejo.</w:t>
      </w:r>
    </w:p>
    <w:p>
      <w:pPr>
        <w:pStyle w:val="ListBullet"/>
      </w:pPr>
      <w:r>
        <w:t>Descartar causa médica porque también existen estresores psicosociales.</w:t>
      </w:r>
    </w:p>
    <w:p>
      <w:pPr>
        <w:pStyle w:val="ListBullet"/>
      </w:pPr>
      <w:r>
        <w:t>Atribuir síntomas nuevos al diagnóstico psiquiátrico previo.</w:t>
      </w:r>
    </w:p>
    <w:p>
      <w:pPr>
        <w:pStyle w:val="ListBullet"/>
      </w:pPr>
      <w:r>
        <w:t>Cerrar el caso antes de observar su evolución.</w:t>
      </w:r>
    </w:p>
    <w:p>
      <w:pPr>
        <w:pStyle w:val="Heading1"/>
      </w:pPr>
      <w:r>
        <w:t>Para recordar</w:t>
      </w:r>
    </w:p>
    <w:p>
      <w:pPr>
        <w:spacing w:after="60" w:line="288" w:lineRule="auto"/>
        <w:ind w:left="432" w:hanging="216"/>
        <w:shd w:fill="EAF6F3"/>
        <w:keepNext/>
        <w:keepLines/>
        <w:pBdr>
          <w:left w:val="single" w:sz="8" w:space="8" w:color="2A8C82"/>
        </w:pBdr>
      </w:pPr>
      <w:r>
        <w:t>1. Defina síndrome, temporalidad y cambio basal antes de buscar causas.</w:t>
      </w:r>
    </w:p>
    <w:p>
      <w:pPr>
        <w:spacing w:after="60" w:line="288" w:lineRule="auto"/>
        <w:ind w:left="432" w:hanging="216"/>
        <w:shd w:fill="EAF6F3"/>
        <w:keepNext/>
        <w:keepLines/>
        <w:pBdr>
          <w:left w:val="single" w:sz="8" w:space="8" w:color="2A8C82"/>
        </w:pBdr>
      </w:pPr>
      <w:r>
        <w:t>2. Jerarquice por probabilidad, gravedad de omisión y posibilidad de intervención.</w:t>
      </w:r>
    </w:p>
    <w:p>
      <w:pPr>
        <w:spacing w:after="60" w:line="288" w:lineRule="auto"/>
        <w:ind w:left="432" w:hanging="216"/>
        <w:shd w:fill="EAF6F3"/>
        <w:keepNext/>
        <w:keepLines/>
        <w:pBdr>
          <w:left w:val="single" w:sz="8" w:space="8" w:color="2A8C82"/>
        </w:pBdr>
      </w:pPr>
      <w:r>
        <w:t>3. El examen físico-neurológico pertenece a la evaluación psiquiátrica.</w:t>
      </w:r>
    </w:p>
    <w:p>
      <w:pPr>
        <w:spacing w:after="60" w:line="288" w:lineRule="auto"/>
        <w:ind w:left="432" w:hanging="216"/>
        <w:shd w:fill="EAF6F3"/>
        <w:keepNext/>
        <w:keepLines/>
        <w:pBdr>
          <w:left w:val="single" w:sz="8" w:space="8" w:color="2A8C82"/>
        </w:pBdr>
      </w:pPr>
      <w:r>
        <w:t>4. Cada examen debe probar una hipótesis y cambiar una decisión posible.</w:t>
      </w:r>
    </w:p>
    <w:p>
      <w:pPr>
        <w:spacing w:after="60" w:line="288" w:lineRule="auto"/>
        <w:ind w:left="432" w:hanging="216"/>
        <w:shd w:fill="EAF6F3"/>
        <w:keepLines/>
        <w:pBdr>
          <w:left w:val="single" w:sz="8" w:space="8" w:color="2A8C82"/>
        </w:pBdr>
      </w:pPr>
      <w:r>
        <w:t>5. Exposición, asociación temporal y causalidad son niveles distintos; la evolución longitudinal puede resolver lo que una fotografía inicial no resuelve.</w:t>
      </w:r>
    </w:p>
    <w:p>
      <w:pPr>
        <w:pStyle w:val="Heading1"/>
      </w:pPr>
      <w:r>
        <w:t>Bibliografía esencial</w:t>
      </w:r>
    </w:p>
    <w:p>
      <w:pPr>
        <w:pStyle w:val="Bibliography"/>
      </w:pPr>
      <w:r>
        <w:t xml:space="preserve">• Silverman JJ, Galanter M, Jackson-Triche M, et al. The American Psychiatric Association practice guidelines for the psychiatric evaluation of adults. </w:t>
      </w:r>
      <w:r>
        <w:rPr>
          <w:i/>
        </w:rPr>
        <w:t>American Journal of Psychiatry</w:t>
      </w:r>
      <w:r>
        <w:t xml:space="preserve">. 2015;172(8):798–802. </w:t>
      </w:r>
      <w:hyperlink r:id="rId13">
        <w:r>
          <w:rPr>
            <w:color w:val="246B8E"/>
            <w:u w:val="single"/>
          </w:rPr>
          <w:t>doi:10.1176/appi.ajp.2015.1720501</w:t>
        </w:r>
      </w:hyperlink>
      <w:r>
        <w:t>.</w:t>
      </w:r>
    </w:p>
    <w:p>
      <w:pPr>
        <w:pStyle w:val="Bibliography"/>
      </w:pPr>
      <w:r>
        <w:t xml:space="preserve">• Wilson MP, Nordstrom K, Anderson EL, et al. American Association for Emergency Psychiatry Task Force on Medical Clearance of Adult Psychiatric Patients. Part II: controversies over medical assessment, and consensus recommendations. </w:t>
      </w:r>
      <w:r>
        <w:rPr>
          <w:i/>
        </w:rPr>
        <w:t>Western Journal of Emergency Medicine</w:t>
      </w:r>
      <w:r>
        <w:t xml:space="preserve">. 2017;18(4):640–646. </w:t>
      </w:r>
      <w:hyperlink r:id="rId21">
        <w:r>
          <w:rPr>
            <w:color w:val="246B8E"/>
            <w:u w:val="single"/>
          </w:rPr>
          <w:t>doi:10.5811/westjem.2017.3.32259</w:t>
        </w:r>
      </w:hyperlink>
      <w:r>
        <w:t>.</w:t>
      </w:r>
    </w:p>
    <w:p>
      <w:pPr>
        <w:pStyle w:val="Bibliography"/>
      </w:pPr>
      <w:r>
        <w:t xml:space="preserve">• American College of Emergency Physicians Clinical Policies Subcommittee. Clinical policy: critical issues in the diagnosis and management of the adult psychiatric patient in the emergency department. </w:t>
      </w:r>
      <w:r>
        <w:rPr>
          <w:i/>
        </w:rPr>
        <w:t>Annals of Emergency Medicine</w:t>
      </w:r>
      <w:r>
        <w:t xml:space="preserve">. 2017;69(4):480–498. </w:t>
      </w:r>
      <w:hyperlink r:id="rId22">
        <w:r>
          <w:rPr>
            <w:color w:val="246B8E"/>
            <w:u w:val="single"/>
          </w:rPr>
          <w:t>doi:10.1016/j.annemergmed.2017.01.036</w:t>
        </w:r>
      </w:hyperlink>
      <w:r>
        <w:t>.</w:t>
      </w:r>
    </w:p>
    <w:p>
      <w:pPr>
        <w:pStyle w:val="Bibliography"/>
      </w:pPr>
      <w:r>
        <w:t xml:space="preserve">• Pollak TA, Lennox BR, Müller S, et al. Autoimmune psychosis: an international consensus on an approach to the diagnosis and management of psychosis of suspected autoimmune origin. </w:t>
      </w:r>
      <w:r>
        <w:rPr>
          <w:i/>
        </w:rPr>
        <w:t>Lancet Psychiatry</w:t>
      </w:r>
      <w:r>
        <w:t xml:space="preserve">. 2020;7(1):93–108. </w:t>
      </w:r>
      <w:hyperlink r:id="rId23">
        <w:r>
          <w:rPr>
            <w:color w:val="246B8E"/>
            <w:u w:val="single"/>
          </w:rPr>
          <w:t>doi:10.1016/S2215-0366(19)30290-1</w:t>
        </w:r>
      </w:hyperlink>
      <w:r>
        <w:t>.</w:t>
      </w:r>
    </w:p>
    <w:p>
      <w:pPr>
        <w:pStyle w:val="Bibliography"/>
      </w:pPr>
      <w:r>
        <w:t xml:space="preserve">• American Society of Addiction Medicine. </w:t>
      </w:r>
      <w:r>
        <w:rPr>
          <w:i/>
        </w:rPr>
        <w:t>Appropriate Use of Drug Testing in Clinical Addiction Medicine: Consensus Document</w:t>
      </w:r>
      <w:r>
        <w:t xml:space="preserve">. 2017. </w:t>
      </w:r>
      <w:hyperlink r:id="rId24">
        <w:r>
          <w:rPr>
            <w:color w:val="246B8E"/>
            <w:u w:val="single"/>
          </w:rPr>
          <w:t>Documento oficial</w:t>
        </w:r>
      </w:hyperlink>
      <w:r>
        <w:t>.</w:t>
      </w:r>
    </w:p>
    <w:p>
      <w:r>
        <w:br w:type="page"/>
      </w:r>
    </w:p>
    <w:p>
      <w:pPr>
        <w:spacing w:after="480"/>
      </w:pPr>
      <w:r>
        <w:rPr>
          <w:rFonts w:ascii="Calibri" w:hAnsi="Calibri"/>
          <w:b/>
          <w:color w:val="2A8C82"/>
          <w:sz w:val="20"/>
        </w:rPr>
        <w:t>CAPÍTULO 10 · MATERIAL PARA ESTUDIANTES</w:t>
      </w:r>
    </w:p>
    <w:tbl>
      <w:tblPr>
        <w:tblW w:type="auto" w:w="0"/>
        <w:jc w:val="left"/>
        <w:tblLayout w:type="fixed"/>
        <w:tblLook w:firstColumn="1" w:firstRow="1" w:lastColumn="0" w:lastRow="0" w:noHBand="0" w:noVBand="1" w:val="04A0"/>
      </w:tblPr>
      <w:tblGrid>
        <w:gridCol w:w="9648"/>
      </w:tblGrid>
      <w:tr>
        <w:trPr>
          <w:tblHeader w:val="true"/>
        </w:trPr>
        <w:tc>
          <w:tcPr>
            <w:tcW w:type="dxa" w:w="9072"/>
            <w:shd w:fill="173A5E"/>
            <w:tcMar>
              <w:top w:w="120" w:type="dxa"/>
              <w:start w:w="220" w:type="dxa"/>
              <w:bottom w:w="120" w:type="dxa"/>
              <w:end w:w="220" w:type="dxa"/>
            </w:tcMar>
          </w:tcPr>
          <w:p>
            <w:pPr>
              <w:spacing w:after="0"/>
            </w:pPr>
            <w:r>
              <w:rPr>
                <w:rFonts w:ascii="Calibri" w:hAnsi="Calibri"/>
                <w:b/>
                <w:color w:val="FFFFFF"/>
                <w:sz w:val="19"/>
              </w:rPr>
              <w:t>MÓDULO I · ENTREVISTA, EXAMEN MENTAL Y RAZONAMIENTO CLÍNICO</w:t>
            </w:r>
          </w:p>
        </w:tc>
      </w:tr>
    </w:tbl>
    <w:p>
      <w:pPr>
        <w:pStyle w:val="Title"/>
        <w:spacing w:before="520" w:after="360"/>
        <w:outlineLvl w:val="0"/>
      </w:pPr>
      <w:bookmarkStart w:id="1010" w:name="chapter_10"/>
      <w:r>
        <w:t>Formulación clínica, gravedad y plan inicial</w:t>
      </w:r>
      <w:bookmarkEnd w:id="1010"/>
    </w:p>
    <w:p>
      <w:pPr>
        <w:spacing w:after="80"/>
      </w:pPr>
      <w:r>
        <w:rPr>
          <w:rFonts w:ascii="Calibri" w:hAnsi="Calibri"/>
          <w:b/>
          <w:color w:val="246B8E"/>
          <w:sz w:val="26"/>
        </w:rPr>
        <w:t>Programa de Psiquiatría para internos de Medicina</w:t>
      </w:r>
    </w:p>
    <w:p>
      <w:r>
        <w:rPr>
          <w:rFonts w:ascii="Calibri" w:hAnsi="Calibri"/>
          <w:color w:val="6B7280"/>
          <w:sz w:val="22"/>
        </w:rPr>
        <w:t>Lectura complementaria · Chile · Versión final para revisión humana · 2026</w:t>
      </w:r>
    </w:p>
    <w:p/>
    <w:p/>
    <w:p/>
    <w:p/>
    <w:p/>
    <w:tbl>
      <w:tblPr>
        <w:tblW w:type="auto" w:w="0"/>
        <w:jc w:val="left"/>
        <w:tblLayout w:type="fixed"/>
        <w:tblLook w:firstColumn="1" w:firstRow="1" w:lastColumn="0" w:lastRow="0" w:noHBand="0" w:noVBand="1" w:val="04A0"/>
      </w:tblPr>
      <w:tblGrid>
        <w:gridCol w:w="9648"/>
      </w:tblGrid>
      <w:tr>
        <w:trPr>
          <w:tblHeader w:val="true"/>
        </w:trPr>
        <w:tc>
          <w:tcPr>
            <w:tcW w:type="dxa" w:w="9648"/>
            <w:shd w:fill="F3F5F6"/>
            <w:tcBorders>
              <w:start w:val="single" w:sz="18" w:color="2A8C82"/>
            </w:tcBorders>
            <w:tcMar>
              <w:top w:w="160" w:type="dxa"/>
              <w:start w:w="220" w:type="dxa"/>
              <w:bottom w:w="160" w:type="dxa"/>
              <w:end w:w="220" w:type="dxa"/>
            </w:tcMar>
          </w:tcPr>
          <w:p>
            <w:pPr>
              <w:spacing w:after="0"/>
            </w:pPr>
            <w:r>
              <w:rPr>
                <w:rFonts w:ascii="Calibri" w:hAnsi="Calibri"/>
                <w:i/>
                <w:color w:val="6B7280"/>
                <w:sz w:val="18"/>
              </w:rPr>
              <w:t>Versión docente final para revisión humana. Material propuesto y contextualizado a Chile; no corresponde a un programa oficial de la Pontificia Universidad Católica de Chile ni sustituye protocolos locales, supervisión clínica o evaluación especializada. Fuentes revisadas al 15 de agosto de 2026.</w:t>
            </w:r>
          </w:p>
        </w:tc>
      </w:tr>
    </w:tbl>
    <w:p>
      <w:r>
        <w:br w:type="page"/>
      </w:r>
    </w:p>
    <w:tbl>
      <w:tblPr>
        <w:tblW w:type="auto" w:w="0"/>
        <w:jc w:val="center"/>
        <w:tblLayout w:type="autofit"/>
        <w:tblLook w:firstColumn="1" w:firstRow="1" w:lastColumn="0" w:lastRow="0" w:noHBand="0" w:noVBand="1" w:val="04A0"/>
      </w:tblPr>
      <w:tblGrid>
        <w:gridCol w:w="9648"/>
      </w:tblGrid>
      <w:tr>
        <w:trPr>
          <w:tblHeader w:val="true"/>
        </w:trPr>
        <w:tc>
          <w:tcPr>
            <w:tcW w:type="dxa" w:w="9648"/>
            <w:vAlign w:val="center"/>
            <w:shd w:fill="EAF3F7"/>
            <w:tcBorders>
              <w:start w:val="single" w:sz="14" w:color="2A8C82"/>
            </w:tcBorders>
            <w:tcMar>
              <w:top w:w="130" w:type="dxa"/>
              <w:start w:w="190" w:type="dxa"/>
              <w:bottom w:w="130" w:type="dxa"/>
              <w:end w:w="190" w:type="dxa"/>
            </w:tcMar>
          </w:tcPr>
          <w:p>
            <w:pPr>
              <w:spacing w:after="0"/>
            </w:pPr>
            <w:r>
              <w:rPr>
                <w:b/>
                <w:color w:val="173A5E"/>
              </w:rPr>
              <w:t xml:space="preserve">PREGUNTA CLÍNICA  </w:t>
            </w:r>
            <w:r>
              <w:t>¿Cómo transformar una entrevista extensa en una explicación provisional, una estimación de necesidades y una conducta inicial segura?</w:t>
            </w:r>
          </w:p>
        </w:tc>
      </w:tr>
    </w:tbl>
    <w:p>
      <w:pPr>
        <w:spacing w:after="0"/>
      </w:pPr>
    </w:p>
    <w:tbl>
      <w:tblPr>
        <w:tblW w:type="auto" w:w="0"/>
        <w:jc w:val="center"/>
        <w:tblLayout w:type="autofit"/>
        <w:tblLook w:firstColumn="1" w:firstRow="1" w:lastColumn="0" w:lastRow="0" w:noHBand="0" w:noVBand="1" w:val="04A0"/>
      </w:tblPr>
      <w:tblGrid>
        <w:gridCol w:w="9648"/>
      </w:tblGrid>
      <w:tr>
        <w:trPr>
          <w:tblHeader w:val="true"/>
        </w:trPr>
        <w:tc>
          <w:tcPr>
            <w:tcW w:type="dxa" w:w="9648"/>
            <w:vAlign w:val="center"/>
            <w:shd w:fill="EAF6F3"/>
            <w:tcBorders>
              <w:start w:val="single" w:sz="14" w:color="2A8C82"/>
            </w:tcBorders>
            <w:tcMar>
              <w:top w:w="130" w:type="dxa"/>
              <w:start w:w="190" w:type="dxa"/>
              <w:bottom w:w="130" w:type="dxa"/>
              <w:end w:w="190" w:type="dxa"/>
            </w:tcMar>
          </w:tcPr>
          <w:p>
            <w:pPr>
              <w:spacing w:after="0"/>
            </w:pPr>
            <w:r>
              <w:rPr>
                <w:b/>
                <w:color w:val="173A5E"/>
              </w:rPr>
              <w:t xml:space="preserve">IDEA CENTRAL  </w:t>
            </w:r>
            <w:r>
              <w:t>Formular no es resumir ni repetir diagnósticos. Es conectar problemas, mecanismos plausibles, temporalidad, gravedad, riesgos y recursos para justificar un plan con responsables, plazos y contingencias.</w:t>
            </w:r>
          </w:p>
        </w:tc>
      </w:tr>
    </w:tbl>
    <w:p>
      <w:pPr>
        <w:spacing w:after="0"/>
      </w:pPr>
    </w:p>
    <w:p>
      <w:pPr>
        <w:pStyle w:val="Heading1"/>
      </w:pPr>
      <w:r>
        <w:t>Por qué importa</w:t>
      </w:r>
    </w:p>
    <w:p>
      <w:r>
        <w:t>Una anamnesis puede ser exhaustiva y, aun así, terminar en una mala decisión. “Depresión, riesgo bajo, control” no explica qué está ocurriendo, qué puede cambiar ni por qué el manejo ambulatorio sería seguro. En el extremo opuesto, una formulación de dos páginas con factores predisponentes, precipitantes, perpetuantes y protectores puede convertirse en un inventario sin relación causal.</w:t>
      </w:r>
    </w:p>
    <w:p>
      <w:r>
        <w:t>La formulación es una hipótesis de trabajo y debe mostrar sus grados de certeza. Su calidad se mide por cuánto ayuda a decidir: qué problema atender primero, qué información falta, cuál es el nivel de cuidado, qué intervención modifica riesgos y cómo se comprobará la evolución.</w:t>
      </w:r>
    </w:p>
    <w:p>
      <w:pPr>
        <w:pStyle w:val="Heading1"/>
      </w:pPr>
      <w:r>
        <w:t>Objetivos de aprendizaje</w:t>
      </w:r>
    </w:p>
    <w:p>
      <w:pPr>
        <w:keepNext/>
      </w:pPr>
      <w:r>
        <w:t>Al finalizar este capítulo, el estudiante podrá:</w:t>
      </w:r>
    </w:p>
    <w:p>
      <w:pPr>
        <w:spacing w:after="60" w:line="288" w:lineRule="auto"/>
        <w:ind w:left="432" w:hanging="216"/>
      </w:pPr>
      <w:r>
        <w:t>1. Elaborar una lista de problemas jerarquizada, distinta de una lista diagnóstica.</w:t>
      </w:r>
    </w:p>
    <w:p>
      <w:pPr>
        <w:spacing w:after="60" w:line="288" w:lineRule="auto"/>
        <w:ind w:left="432" w:hanging="216"/>
      </w:pPr>
      <w:r>
        <w:t>2. Construir una formulación biopsicosocial breve con vínculos causales prudentes.</w:t>
      </w:r>
    </w:p>
    <w:p>
      <w:pPr>
        <w:spacing w:after="60" w:line="288" w:lineRule="auto"/>
        <w:ind w:left="432" w:hanging="216"/>
      </w:pPr>
      <w:r>
        <w:t>3. Utilizar predisponentes, precipitantes, perpetuantes y protectores como estructura integrada.</w:t>
      </w:r>
    </w:p>
    <w:p>
      <w:pPr>
        <w:spacing w:after="60" w:line="288" w:lineRule="auto"/>
        <w:ind w:left="432" w:hanging="216"/>
      </w:pPr>
      <w:r>
        <w:t>4. Formular riesgo suicida, violencia, vulnerabilidad y capacidad de autocuidado.</w:t>
      </w:r>
    </w:p>
    <w:p>
      <w:pPr>
        <w:spacing w:after="60" w:line="288" w:lineRule="auto"/>
        <w:ind w:left="432" w:hanging="216"/>
      </w:pPr>
      <w:r>
        <w:t>5. Distinguir gravedad sintomática, deterioro funcional, riesgo y urgencia.</w:t>
      </w:r>
    </w:p>
    <w:p>
      <w:pPr>
        <w:spacing w:after="60" w:line="288" w:lineRule="auto"/>
        <w:ind w:left="432" w:hanging="216"/>
      </w:pPr>
      <w:r>
        <w:t>6. Proponer un nivel de atención proporcional y la alternativa menos restrictiva que sea efectivamente segura.</w:t>
      </w:r>
    </w:p>
    <w:p>
      <w:pPr>
        <w:spacing w:after="60" w:line="288" w:lineRule="auto"/>
        <w:ind w:left="432" w:hanging="216"/>
      </w:pPr>
      <w:r>
        <w:t>7. Redactar un plan por problemas con responsables, tiempos, monitoreo y contingencias.</w:t>
      </w:r>
    </w:p>
    <w:p>
      <w:pPr>
        <w:pStyle w:val="Heading1"/>
      </w:pPr>
      <w:r>
        <w:t>Caso clínico</w:t>
      </w:r>
    </w:p>
    <w:p>
      <w:pPr>
        <w:shd w:fill="EAF3F7"/>
        <w:keepNext/>
        <w:keepLines/>
        <w:pBdr>
          <w:left w:val="single" w:sz="8" w:space="8" w:color="246B8E"/>
        </w:pBdr>
        <w:ind w:left="173" w:right="86"/>
      </w:pPr>
      <w:r>
        <w:t>Sofía, de 24 años, consulta después de realizarse cortes superficiales en el antebrazo tras una ruptura de pareja. Refiere seis semanas de ánimo deprimido, anhedonia, desesperanza y consumo creciente de alcohol. Tuvo un intento suicida a los 16 años, acumuló deudas y dejó de asistir a la universidad. Niega intención suicida actual, pero conserva varios frascos de medicamentos en su habitación. Vive con una amiga que está disponible esta noche, pidió ayuda por iniciativa propia y acepta tratamiento.</w:t>
      </w:r>
    </w:p>
    <w:p>
      <w:pPr>
        <w:shd w:fill="EAF3F7"/>
        <w:keepLines/>
        <w:pBdr>
          <w:left w:val="single" w:sz="8" w:space="8" w:color="246B8E"/>
        </w:pBdr>
        <w:ind w:left="173" w:right="86"/>
      </w:pPr>
      <w:r>
        <w:t>La superficialidad de las lesiones no define el riesgo. Tampoco lo resuelve la frase “niega plan”. La decisión depende de integrar el episodio depresivo, la autolesión, la intoxicación posible, el intento previo, el acceso a medios, el apoyo realmente disponible y la capacidad de participar en un plan.</w:t>
      </w:r>
    </w:p>
    <w:p>
      <w:pPr>
        <w:pStyle w:val="Heading1"/>
      </w:pPr>
      <w:r>
        <w:t>De los datos a una lista de problemas</w:t>
      </w:r>
    </w:p>
    <w:p>
      <w:r>
        <w:t xml:space="preserve">Conviene separar </w:t>
      </w:r>
      <w:r>
        <w:rPr>
          <w:b/>
        </w:rPr>
        <w:t>datos</w:t>
      </w:r>
      <w:r>
        <w:t xml:space="preserve">, </w:t>
      </w:r>
      <w:r>
        <w:rPr>
          <w:b/>
        </w:rPr>
        <w:t>problemas</w:t>
      </w:r>
      <w:r>
        <w:t xml:space="preserve">, </w:t>
      </w:r>
      <w:r>
        <w:rPr>
          <w:b/>
        </w:rPr>
        <w:t>hipótesis</w:t>
      </w:r>
      <w:r>
        <w:t xml:space="preserve"> y </w:t>
      </w:r>
      <w:r>
        <w:rPr>
          <w:b/>
        </w:rPr>
        <w:t>decisiones</w:t>
      </w:r>
      <w:r>
        <w:t>. En Sofía, los problemas inmediatos incluyen lesiones que deben evaluarse médicamente, síndrome depresivo, autolesión reciente, acceso a medicamentos, aumento de alcohol, deterioro académico y financiero, y una ruptura reciente. “Trastorno depresivo mayor” puede ser una hipótesis diagnóstica; “alta con control” es una decisión que todavía debe justificarse.</w:t>
      </w:r>
    </w:p>
    <w:p>
      <w:r>
        <w:t>La lista se jerarquiza por urgencia y consecuencia, no por el orden de la entrevista. Incluye problemas médicos, sociales y legales que modifican el cuidado. También explicita incertidumbres: cantidad de alcohol, intención durante los cortes, medicamentos disponibles, disponibilidad real de la amiga y posibilidad de seguimiento. Una pregunta pendiente que puede cambiar el destino asistencial es un problema clínico, no un detalle administrativo.</w:t>
      </w:r>
    </w:p>
    <w:p>
      <w:pPr>
        <w:pStyle w:val="Heading1"/>
      </w:pPr>
      <w:r>
        <w:t>Formulación biopsicosocial y esquema de las 4P</w:t>
      </w:r>
    </w:p>
    <w:p>
      <w:r>
        <w:t xml:space="preserve">Los </w:t>
      </w:r>
      <w:r>
        <w:rPr>
          <w:b/>
        </w:rPr>
        <w:t>predisponentes</w:t>
      </w:r>
      <w:r>
        <w:t xml:space="preserve"> son vulnerabilidades de largo plazo: antecedentes familiares, trauma, enfermedades, rasgos temperamentales o privación social. Aumentan probabilidad, pero no determinan destino. Los </w:t>
      </w:r>
      <w:r>
        <w:rPr>
          <w:b/>
        </w:rPr>
        <w:t>precipitantes</w:t>
      </w:r>
      <w:r>
        <w:t xml:space="preserve"> son cambios temporalmente próximos al episodio, como pérdida, enfermedad, suspensión farmacológica o intoxicación. La proximidad temporal no prueba causalidad.</w:t>
      </w:r>
    </w:p>
    <w:p>
      <w:r>
        <w:t xml:space="preserve">Los </w:t>
      </w:r>
      <w:r>
        <w:rPr>
          <w:b/>
        </w:rPr>
        <w:t>perpetuantes</w:t>
      </w:r>
      <w:r>
        <w:t xml:space="preserve"> mantienen o agravan el cuadro y suelen ofrecer objetivos de intervención: insomnio, evitación, consumo, conflicto persistente, dolor, aislamiento, efectos adversos o barreras de acceso. Los </w:t>
      </w:r>
      <w:r>
        <w:rPr>
          <w:b/>
        </w:rPr>
        <w:t>protectores</w:t>
      </w:r>
      <w:r>
        <w:t xml:space="preserve"> son recursos reales y utilizables: vínculo estable, disposición a pedir ayuda, responsabilidades significativas, tratamiento accesible y capacidad de colaborar. Una relación sólo protege si la persona está disponible, conoce el problema y puede actuar.</w:t>
      </w:r>
    </w:p>
    <w:p>
      <w:r>
        <w:t>Las cuatro categorías deben transformarse en una narración: “Sobre vulnerabilidad afectiva y suicida previa, Sofía desarrolla un episodio depresivo en un período de aislamiento y deuda; la ruptura y el alcohol parecen haber precipitado la autolesión, mientras el consumo, el insomnio y la discontinuidad académica perpetúan desesperanza. La búsqueda espontánea de ayuda y una convivencia disponible ofrecen recursos parciales, cuya suficiencia debe verificarse”. Expresiones como “parece contribuir” o “es compatible con” distinguen inferencia de hecho.</w:t>
      </w:r>
    </w:p>
    <w:p>
      <w:pPr>
        <w:pStyle w:val="Heading1"/>
      </w:pPr>
      <w:r>
        <w:t>Gravedad no es una sola dimensión</w:t>
      </w:r>
    </w:p>
    <w:p>
      <w:r>
        <w:t xml:space="preserve">La </w:t>
      </w:r>
      <w:r>
        <w:rPr>
          <w:b/>
        </w:rPr>
        <w:t>gravedad sintomática</w:t>
      </w:r>
      <w:r>
        <w:t xml:space="preserve"> considera intensidad y extensión del síndrome. El </w:t>
      </w:r>
      <w:r>
        <w:rPr>
          <w:b/>
        </w:rPr>
        <w:t>deterioro funcional</w:t>
      </w:r>
      <w:r>
        <w:t xml:space="preserve"> examina trabajo o estudio, relaciones, autocuidado y capacidad de cumplir tareas básicas. La </w:t>
      </w:r>
      <w:r>
        <w:rPr>
          <w:b/>
        </w:rPr>
        <w:t>urgencia</w:t>
      </w:r>
      <w:r>
        <w:t xml:space="preserve"> indica cuánto puede demorarse una intervención sin aumentar daño. El </w:t>
      </w:r>
      <w:r>
        <w:rPr>
          <w:b/>
        </w:rPr>
        <w:t>riesgo</w:t>
      </w:r>
      <w:r>
        <w:t xml:space="preserve"> se refiere a resultados adversos específicos bajo determinados escenarios.</w:t>
      </w:r>
    </w:p>
    <w:p>
      <w:r>
        <w:t>Estas dimensiones pueden divergir. Una depresión con pocos síntomas puede acompañarse de intención suicida organizada; una manía muy sintomática puede no tener ideación suicida, pero producir ruina financiera y exposición física. Una persona con psicosis puede conservar autocuidado, mientras otra sin psicosis puede ser incapaz de comer o beber. El plan debe responder a cada dimensión, no a un puntaje global imaginario.</w:t>
      </w:r>
    </w:p>
    <w:p>
      <w:pPr>
        <w:pStyle w:val="Heading1"/>
      </w:pPr>
      <w:r>
        <w:t>Formulación de riesgo suicida</w:t>
      </w:r>
    </w:p>
    <w:p>
      <w:r>
        <w:t>La evaluación explora ideación pasiva de muerte, ideas suicidas, intención, métodos, plan, preparativos, acceso a medios, intento actual y episodios previos. Se agregan desesperanza, agitación, intoxicación, psicosis, dolor, pérdidas, impulsividad, sueño, cambios recientes y capacidad de solicitar ayuda. En autolesiones se pregunta qué intentaba lograr la persona; la profundidad de la herida no permite inferir intención.</w:t>
      </w:r>
    </w:p>
    <w:p>
      <w:pPr>
        <w:keepNext/>
      </w:pPr>
      <w:r>
        <w:t>Las categorías aisladas “bajo, medio o alto” tienen escasa precisión y pueden producir falsa seguridad. Las escalas estructuran la entrevista o documentan determinados dominios, pero no deben usarse para predecir suicidio ni decidir por sí solas alta u hospitalización. Una formulación clínica útil distingue:</w:t>
      </w:r>
    </w:p>
    <w:p>
      <w:pPr>
        <w:pStyle w:val="ListBullet"/>
      </w:pPr>
      <w:r>
        <w:rPr>
          <w:b/>
        </w:rPr>
        <w:t>Vulnerabilidad basal:</w:t>
      </w:r>
      <w:r>
        <w:t xml:space="preserve"> patrones relativamente estables, como intentos previos o enfermedad recurrente.</w:t>
      </w:r>
    </w:p>
    <w:p>
      <w:pPr>
        <w:pStyle w:val="ListBullet"/>
      </w:pPr>
      <w:r>
        <w:rPr>
          <w:b/>
        </w:rPr>
        <w:t>Estado actual:</w:t>
      </w:r>
      <w:r>
        <w:t xml:space="preserve"> cómo se compara hoy con su propio basal.</w:t>
      </w:r>
    </w:p>
    <w:p>
      <w:pPr>
        <w:pStyle w:val="ListBullet"/>
      </w:pPr>
      <w:r>
        <w:rPr>
          <w:b/>
        </w:rPr>
        <w:t>Recursos disponibles:</w:t>
      </w:r>
      <w:r>
        <w:t xml:space="preserve"> apoyos, habilidades, acceso a tratamiento y disposición a usarlos.</w:t>
      </w:r>
    </w:p>
    <w:p>
      <w:pPr>
        <w:pStyle w:val="ListBullet"/>
      </w:pPr>
      <w:r>
        <w:rPr>
          <w:b/>
        </w:rPr>
        <w:t>Cambios previsibles:</w:t>
      </w:r>
      <w:r>
        <w:t xml:space="preserve"> intoxicación, nueva pérdida, quedarse sola, acceso renovado a medios o interrupción del cuidado.</w:t>
      </w:r>
    </w:p>
    <w:p>
      <w:r>
        <w:t>La conclusión describe escenarios y conduce a acciones: “En las próximas horas, el riesgo puede aumentar si consume alcohol y queda sola con acceso a medicamentos”. Esto justifica restringir medios de común acuerdo, movilizar apoyo, tratar el episodio, reevaluar sobria y asegurar seguimiento. Los factores protectores no se restan aritméticamente de los factores de riesgo.</w:t>
      </w:r>
    </w:p>
    <w:p>
      <w:r>
        <w:t xml:space="preserve">Un </w:t>
      </w:r>
      <w:r>
        <w:rPr>
          <w:b/>
        </w:rPr>
        <w:t>plan de seguridad</w:t>
      </w:r>
      <w:r>
        <w:t xml:space="preserve"> colaborativo identifica señales de alarma, estrategias internas, personas y lugares de distracción, contactos de apoyo, profesionales o servicios de urgencia y reducción de acceso a medios. No es un “contrato de no suicidio” ni reemplaza el tratamiento. Debe ser concreto, posible y entregado en un formato que la persona pueda usar.</w:t>
      </w:r>
    </w:p>
    <w:p>
      <w:pPr>
        <w:pStyle w:val="Heading1"/>
      </w:pPr>
      <w:r>
        <w:t>Violencia, vulnerabilidad y autocuidado</w:t>
      </w:r>
    </w:p>
    <w:p>
      <w:r>
        <w:t>El riesgo de violencia se formula respecto de una conducta y un escenario. Se exploran antecedentes, amenazas actuales, posible objetivo, intención, planificación, acceso a armas, intoxicación, delirios, voces de mandato, impulsividad y control. El diagnóstico por sí solo no autoriza la etiqueta “peligroso”. Se documentan hechos, informantes y medidas adoptadas.</w:t>
      </w:r>
    </w:p>
    <w:p>
      <w:r>
        <w:t xml:space="preserve">La </w:t>
      </w:r>
      <w:r>
        <w:rPr>
          <w:b/>
        </w:rPr>
        <w:t>vulnerabilidad</w:t>
      </w:r>
      <w:r>
        <w:t xml:space="preserve"> incluye exposición a abuso, explotación, coerción, falta de vivienda, deterioro cognitivo, dependencia de terceros y barreras de comunicación. El </w:t>
      </w:r>
      <w:r>
        <w:rPr>
          <w:b/>
        </w:rPr>
        <w:t>autocuidado</w:t>
      </w:r>
      <w:r>
        <w:t xml:space="preserve"> se examina mediante alimentación, hidratación, higiene, medicación, refugio, movilidad y capacidad de pedir ayuda. Estos dominios pueden determinar el nivel de cuidado incluso sin intención suicida o violenta.</w:t>
      </w:r>
    </w:p>
    <w:p>
      <w:pPr>
        <w:pStyle w:val="Heading1"/>
      </w:pPr>
      <w:r>
        <w:t>Capacidad, preferencias y decisiones compartidas</w:t>
      </w:r>
    </w:p>
    <w:p>
      <w:r>
        <w:t>La capacidad se evalúa para una decisión específica y en un momento concreto: expresar una elección, comprender información relevante, apreciar cómo se aplica a la propia situación y razonar entre alternativas. Diagnóstico, desacuerdo o conducta de riesgo no equivalen automáticamente a incapacidad. Antes de concluirla se corrigen barreras reversibles como intoxicación, delirium, dolor, idioma o información insuficiente y se ofrecen apoyos.</w:t>
      </w:r>
    </w:p>
    <w:p>
      <w:r>
        <w:t>Se registran preferencias, rechazos y personas significativas autorizadas. La toma de decisiones compartida no obliga a aceptar una alternativa clínicamente insegura, pero sí a explicar opciones, incertidumbres y razones de la recomendación. Cuando la capacidad o el marco legal son dudosos, corresponde supervisión y consulta según las normas vigentes.</w:t>
      </w:r>
    </w:p>
    <w:p>
      <w:pPr>
        <w:pStyle w:val="Heading1"/>
      </w:pPr>
      <w:r>
        <w:t>Del nivel de atención al plan por problemas</w:t>
      </w:r>
    </w:p>
    <w:p>
      <w:r>
        <w:t>La hospitalización completa se considera cuando la estabilización médica, el riesgo, el deterioro o la falta de contención no pueden manejarse de manera menos restrictiva. Un dispositivo intensivo diurno puede aportar estructura sin cuidado continuo; la especialidad ambulatoria es apropiada ante complejidad, refractariedad o diagnóstico incierto; atención primaria puede conducir cuadros manejables con apoyo y seguimiento. La disponibilidad real importa: una alternativa inexistente no vuelve seguro el alta.</w:t>
      </w:r>
    </w:p>
    <w:p>
      <w:r>
        <w:t>El plan se organiza por problemas: seguridad y medios; lesiones o estudio médico; tratamiento farmacológico y/o psicoterapéutico; consumo; psicoeducación; participación de red; destino; fecha y responsable del seguimiento; y criterios de contingencia. Debe señalar qué ocurrirá durante la espera. “Derivar a psiquiatría” no transfiere responsabilidad hasta que otro equipo asume efectivamente.</w:t>
      </w:r>
    </w:p>
    <w:p>
      <w:r>
        <w:t>Para Sofía, el destino depende de reevaluación clínica, intención durante la autolesión, capacidad de participar, retiro verificable de medicamentos y apoyo continuo. Si está intoxicada, se atienden de inmediato sus necesidades médicas y se inicia la evaluación psicosocial tan pronto pueda participar; no se posterga hasta alcanzar una alcoholemia arbitraria y se repite lo necesario cuando mejore su capacidad de colaboración. Si el manejo ambulatorio resulta seguro, requiere un plan de seguridad, tratamiento del episodio y consumo, contacto precoz y una transición activa. Si esas condiciones no existen o el riesgo no puede contenerse, se eleva el nivel de cuidado.</w:t>
      </w:r>
    </w:p>
    <w:p>
      <w:pPr>
        <w:pStyle w:val="Heading2"/>
      </w:pPr>
      <w:r>
        <w:t>Presentación integrada</w:t>
      </w:r>
    </w:p>
    <w:p>
      <w:r>
        <w:t>“Mujer de 24 años con síndrome depresivo de seis semanas, deterioro académico y autolesión tras ruptura en contexto de consumo creciente de alcohol. Presenta vulnerabilidad suicida basal por intento previo y un estado actual agravado por desesperanza, acceso a medicamentos y deuda. Niega intención presente, pero esto se compensa sólo parcialmente por búsqueda de ayuda, convivencia disponible y aceptación de tratamiento. Requiere evaluar lesiones e intoxicación, restringir medios, verificar apoyo, tratar depresión y consumo y asegurar seguimiento precoz; el destino se definirá por la contención efectiva y la reevaluación, no por la superficialidad de los cortes”.</w:t>
      </w:r>
    </w:p>
    <w:p>
      <w:pPr>
        <w:pStyle w:val="Heading1"/>
      </w:pPr>
      <w:r>
        <w:t>Errores frecuentes</w:t>
      </w:r>
    </w:p>
    <w:p>
      <w:pPr>
        <w:pStyle w:val="ListBullet"/>
      </w:pPr>
      <w:r>
        <w:t>Confundir formulación con resumen cronológico o lista de diagnósticos.</w:t>
      </w:r>
    </w:p>
    <w:p>
      <w:pPr>
        <w:pStyle w:val="ListBullet"/>
      </w:pPr>
      <w:r>
        <w:t>Convertir las 4P en cuatro inventarios sin vínculos.</w:t>
      </w:r>
    </w:p>
    <w:p>
      <w:pPr>
        <w:pStyle w:val="ListBullet"/>
      </w:pPr>
      <w:r>
        <w:t>Usar una escala o “riesgo bajo” para decidir el alta.</w:t>
      </w:r>
    </w:p>
    <w:p>
      <w:pPr>
        <w:pStyle w:val="ListBullet"/>
      </w:pPr>
      <w:r>
        <w:t>Inferir baja intención por lesiones superficiales.</w:t>
      </w:r>
    </w:p>
    <w:p>
      <w:pPr>
        <w:pStyle w:val="ListBullet"/>
      </w:pPr>
      <w:r>
        <w:t>Sumar factores protectores como puntos que cancelan riesgo.</w:t>
      </w:r>
    </w:p>
    <w:p>
      <w:pPr>
        <w:pStyle w:val="ListBullet"/>
      </w:pPr>
      <w:r>
        <w:t>Inferir violencia a partir de un diagnóstico.</w:t>
      </w:r>
    </w:p>
    <w:p>
      <w:pPr>
        <w:pStyle w:val="ListBullet"/>
      </w:pPr>
      <w:r>
        <w:t>Usar un contrato de no suicidio como medida de seguridad.</w:t>
      </w:r>
    </w:p>
    <w:p>
      <w:pPr>
        <w:pStyle w:val="ListBullet"/>
      </w:pPr>
      <w:r>
        <w:t>Proponer derivación sin responsable, plazo ni plan durante la espera.</w:t>
      </w:r>
    </w:p>
    <w:p>
      <w:pPr>
        <w:pStyle w:val="Heading1"/>
      </w:pPr>
      <w:r>
        <w:t>Para recordar</w:t>
      </w:r>
    </w:p>
    <w:p>
      <w:pPr>
        <w:spacing w:after="60" w:line="288" w:lineRule="auto"/>
        <w:ind w:left="432" w:hanging="216"/>
        <w:shd w:fill="EAF6F3"/>
        <w:keepNext/>
        <w:keepLines/>
        <w:pBdr>
          <w:left w:val="single" w:sz="8" w:space="8" w:color="2A8C82"/>
        </w:pBdr>
      </w:pPr>
      <w:r>
        <w:t>1. Una formulación conecta problemas, mecanismos plausibles y decisiones, y muestra su incertidumbre.</w:t>
      </w:r>
    </w:p>
    <w:p>
      <w:pPr>
        <w:spacing w:after="60" w:line="288" w:lineRule="auto"/>
        <w:ind w:left="432" w:hanging="216"/>
        <w:shd w:fill="EAF6F3"/>
        <w:keepNext/>
        <w:keepLines/>
        <w:pBdr>
          <w:left w:val="single" w:sz="8" w:space="8" w:color="2A8C82"/>
        </w:pBdr>
      </w:pPr>
      <w:r>
        <w:t>2. Gravedad sintomática, función, urgencia y riesgo son dimensiones distintas.</w:t>
      </w:r>
    </w:p>
    <w:p>
      <w:pPr>
        <w:spacing w:after="60" w:line="288" w:lineRule="auto"/>
        <w:ind w:left="432" w:hanging="216"/>
        <w:shd w:fill="EAF6F3"/>
        <w:keepNext/>
        <w:keepLines/>
        <w:pBdr>
          <w:left w:val="single" w:sz="8" w:space="8" w:color="2A8C82"/>
        </w:pBdr>
      </w:pPr>
      <w:r>
        <w:t>3. La evaluación suicida debe describir vulnerabilidad basal, estado actual, recursos y cambios previsibles.</w:t>
      </w:r>
    </w:p>
    <w:p>
      <w:pPr>
        <w:spacing w:after="60" w:line="288" w:lineRule="auto"/>
        <w:ind w:left="432" w:hanging="216"/>
        <w:shd w:fill="EAF6F3"/>
        <w:keepNext/>
        <w:keepLines/>
        <w:pBdr>
          <w:left w:val="single" w:sz="8" w:space="8" w:color="2A8C82"/>
        </w:pBdr>
      </w:pPr>
      <w:r>
        <w:t>4. La alternativa menos restrictiva debe ser realmente disponible y segura.</w:t>
      </w:r>
    </w:p>
    <w:p>
      <w:pPr>
        <w:spacing w:after="60" w:line="288" w:lineRule="auto"/>
        <w:ind w:left="432" w:hanging="216"/>
        <w:shd w:fill="EAF6F3"/>
        <w:keepLines/>
        <w:pBdr>
          <w:left w:val="single" w:sz="8" w:space="8" w:color="2A8C82"/>
        </w:pBdr>
      </w:pPr>
      <w:r>
        <w:t>5. Un plan completo especifica acciones, responsables, plazos, monitoreo y contingencias.</w:t>
      </w:r>
    </w:p>
    <w:p>
      <w:pPr>
        <w:pStyle w:val="Heading1"/>
      </w:pPr>
      <w:r>
        <w:t>Bibliografía esencial</w:t>
      </w:r>
    </w:p>
    <w:p>
      <w:pPr>
        <w:pStyle w:val="Bibliography"/>
      </w:pPr>
      <w:r>
        <w:t xml:space="preserve">• American Psychiatric Association. </w:t>
      </w:r>
      <w:r>
        <w:rPr>
          <w:i/>
        </w:rPr>
        <w:t>The American Psychiatric Association Practice Guidelines for the Psychiatric Evaluation of Adults</w:t>
      </w:r>
      <w:r>
        <w:t>. 3rd ed. American Psychiatric Association Publishing; 2016.</w:t>
      </w:r>
    </w:p>
    <w:p>
      <w:pPr>
        <w:pStyle w:val="Bibliography"/>
      </w:pPr>
      <w:r>
        <w:t xml:space="preserve">• National Institute for Health and Care Excellence. </w:t>
      </w:r>
      <w:r>
        <w:rPr>
          <w:i/>
        </w:rPr>
        <w:t>Self-harm: assessment, management and preventing recurrence</w:t>
      </w:r>
      <w:r>
        <w:t xml:space="preserve">. NICE guideline NG225; 2022. </w:t>
      </w:r>
      <w:hyperlink r:id="rId25">
        <w:r>
          <w:rPr>
            <w:color w:val="246B8E"/>
            <w:u w:val="single"/>
          </w:rPr>
          <w:t>Recomendaciones</w:t>
        </w:r>
      </w:hyperlink>
      <w:r>
        <w:t>.</w:t>
      </w:r>
    </w:p>
    <w:p>
      <w:pPr>
        <w:pStyle w:val="Bibliography"/>
      </w:pPr>
      <w:r>
        <w:t xml:space="preserve">• Department of Veterans Affairs, Department of Defense. </w:t>
      </w:r>
      <w:r>
        <w:rPr>
          <w:i/>
        </w:rPr>
        <w:t>VA/DoD Clinical Practice Guideline for Assessment and Management of Patients at Risk for Suicide</w:t>
      </w:r>
      <w:r>
        <w:t xml:space="preserve">. Version 3.0; 2024. </w:t>
      </w:r>
      <w:hyperlink r:id="rId26">
        <w:r>
          <w:rPr>
            <w:color w:val="246B8E"/>
            <w:u w:val="single"/>
          </w:rPr>
          <w:t>Guía oficial</w:t>
        </w:r>
      </w:hyperlink>
      <w:r>
        <w:t>.</w:t>
      </w:r>
    </w:p>
    <w:p>
      <w:pPr>
        <w:pStyle w:val="Bibliography"/>
      </w:pPr>
      <w:r>
        <w:t xml:space="preserve">• Pisani AR, Murrie DC, Silverman MM. Reformulating suicide risk formulation: from prediction to prevention. </w:t>
      </w:r>
      <w:r>
        <w:rPr>
          <w:i/>
        </w:rPr>
        <w:t>Suicide and Life-Threatening Behavior</w:t>
      </w:r>
      <w:r>
        <w:t xml:space="preserve">. 2016;46(4):395–406. </w:t>
      </w:r>
      <w:hyperlink r:id="rId27">
        <w:r>
          <w:rPr>
            <w:color w:val="246B8E"/>
            <w:u w:val="single"/>
          </w:rPr>
          <w:t>doi:10.1111/sltb.12218</w:t>
        </w:r>
      </w:hyperlink>
      <w:r>
        <w:t>.</w:t>
      </w:r>
    </w:p>
    <w:p>
      <w:pPr>
        <w:pStyle w:val="Bibliography"/>
      </w:pPr>
      <w:r>
        <w:t xml:space="preserve">• Stanley B, Brown GK. Safety planning intervention: a brief intervention to mitigate suicide risk. </w:t>
      </w:r>
      <w:r>
        <w:rPr>
          <w:i/>
        </w:rPr>
        <w:t>Cognitive and Behavioral Practice</w:t>
      </w:r>
      <w:r>
        <w:t xml:space="preserve">. 2012;19(2):256–264. </w:t>
      </w:r>
      <w:hyperlink r:id="rId28">
        <w:r>
          <w:rPr>
            <w:color w:val="246B8E"/>
            <w:u w:val="single"/>
          </w:rPr>
          <w:t>doi:10.1016/j.cbpra.2011.01.001</w:t>
        </w:r>
      </w:hyperlink>
      <w:r>
        <w:t>.</w:t>
      </w:r>
    </w:p>
    <w:p>
      <w:pPr>
        <w:pStyle w:val="Bibliography"/>
      </w:pPr>
      <w:r>
        <w:t xml:space="preserve">• Appelbaum PS. Assessment of patients’ competence to consent to treatment. </w:t>
      </w:r>
      <w:r>
        <w:rPr>
          <w:i/>
        </w:rPr>
        <w:t>New England Journal of Medicine</w:t>
      </w:r>
      <w:r>
        <w:t xml:space="preserve">. 2007;357(18):1834–1840. </w:t>
      </w:r>
      <w:hyperlink r:id="rId20">
        <w:r>
          <w:rPr>
            <w:color w:val="246B8E"/>
            <w:u w:val="single"/>
          </w:rPr>
          <w:t>doi:10.1056/NEJMcp074045</w:t>
        </w:r>
      </w:hyperlink>
      <w:r>
        <w:t>.</w:t>
      </w:r>
    </w:p>
    <w:p>
      <w:r>
        <w:br w:type="page"/>
      </w:r>
    </w:p>
    <w:p>
      <w:pPr>
        <w:spacing w:after="480"/>
      </w:pPr>
      <w:r>
        <w:rPr>
          <w:rFonts w:ascii="Calibri" w:hAnsi="Calibri"/>
          <w:b/>
          <w:color w:val="2A8C82"/>
          <w:sz w:val="20"/>
        </w:rPr>
        <w:t>CAPÍTULO 11 · MATERIAL PARA ESTUDIANTES</w:t>
      </w:r>
    </w:p>
    <w:tbl>
      <w:tblPr>
        <w:tblW w:type="auto" w:w="0"/>
        <w:jc w:val="left"/>
        <w:tblLayout w:type="fixed"/>
        <w:tblLook w:firstColumn="1" w:firstRow="1" w:lastColumn="0" w:lastRow="0" w:noHBand="0" w:noVBand="1" w:val="04A0"/>
      </w:tblPr>
      <w:tblGrid>
        <w:gridCol w:w="9648"/>
      </w:tblGrid>
      <w:tr>
        <w:trPr>
          <w:tblHeader w:val="true"/>
        </w:trPr>
        <w:tc>
          <w:tcPr>
            <w:tcW w:type="dxa" w:w="9072"/>
            <w:shd w:fill="173A5E"/>
            <w:tcMar>
              <w:top w:w="120" w:type="dxa"/>
              <w:start w:w="220" w:type="dxa"/>
              <w:bottom w:w="120" w:type="dxa"/>
              <w:end w:w="220" w:type="dxa"/>
            </w:tcMar>
          </w:tcPr>
          <w:p>
            <w:pPr>
              <w:spacing w:after="0"/>
            </w:pPr>
            <w:r>
              <w:rPr>
                <w:rFonts w:ascii="Calibri" w:hAnsi="Calibri"/>
                <w:b/>
                <w:color w:val="FFFFFF"/>
                <w:sz w:val="19"/>
              </w:rPr>
              <w:t>MÓDULO II · PATOLOGÍAS, GES Y TRATAMIENTOS</w:t>
            </w:r>
          </w:p>
        </w:tc>
      </w:tr>
    </w:tbl>
    <w:p>
      <w:pPr>
        <w:pStyle w:val="Title"/>
        <w:spacing w:before="520" w:after="360"/>
        <w:outlineLvl w:val="0"/>
      </w:pPr>
      <w:bookmarkStart w:id="1011" w:name="chapter_11"/>
      <w:r>
        <w:t>Depresión en adultos: diagnóstico, clasificación y GES 34</w:t>
      </w:r>
      <w:bookmarkEnd w:id="1011"/>
    </w:p>
    <w:p>
      <w:pPr>
        <w:spacing w:after="80"/>
      </w:pPr>
      <w:r>
        <w:rPr>
          <w:rFonts w:ascii="Calibri" w:hAnsi="Calibri"/>
          <w:b/>
          <w:color w:val="246B8E"/>
          <w:sz w:val="26"/>
        </w:rPr>
        <w:t>Programa de Psiquiatría para internos de Medicina</w:t>
      </w:r>
    </w:p>
    <w:p>
      <w:r>
        <w:rPr>
          <w:rFonts w:ascii="Calibri" w:hAnsi="Calibri"/>
          <w:color w:val="6B7280"/>
          <w:sz w:val="22"/>
        </w:rPr>
        <w:t>Lectura complementaria · Chile · Versión final para revisión humana · 2026</w:t>
      </w:r>
    </w:p>
    <w:p/>
    <w:p/>
    <w:p/>
    <w:p/>
    <w:p/>
    <w:tbl>
      <w:tblPr>
        <w:tblW w:type="auto" w:w="0"/>
        <w:jc w:val="left"/>
        <w:tblLayout w:type="fixed"/>
        <w:tblLook w:firstColumn="1" w:firstRow="1" w:lastColumn="0" w:lastRow="0" w:noHBand="0" w:noVBand="1" w:val="04A0"/>
      </w:tblPr>
      <w:tblGrid>
        <w:gridCol w:w="9648"/>
      </w:tblGrid>
      <w:tr>
        <w:trPr>
          <w:tblHeader w:val="true"/>
        </w:trPr>
        <w:tc>
          <w:tcPr>
            <w:tcW w:type="dxa" w:w="9648"/>
            <w:shd w:fill="F3F5F6"/>
            <w:tcBorders>
              <w:start w:val="single" w:sz="18" w:color="2A8C82"/>
            </w:tcBorders>
            <w:tcMar>
              <w:top w:w="160" w:type="dxa"/>
              <w:start w:w="220" w:type="dxa"/>
              <w:bottom w:w="160" w:type="dxa"/>
              <w:end w:w="220" w:type="dxa"/>
            </w:tcMar>
          </w:tcPr>
          <w:p>
            <w:pPr>
              <w:spacing w:after="0"/>
            </w:pPr>
            <w:r>
              <w:rPr>
                <w:rFonts w:ascii="Calibri" w:hAnsi="Calibri"/>
                <w:i/>
                <w:color w:val="6B7280"/>
                <w:sz w:val="18"/>
              </w:rPr>
              <w:t>Versión docente final para revisión humana. Material propuesto y contextualizado a Chile; no corresponde a un programa oficial de la Pontificia Universidad Católica de Chile ni sustituye protocolos locales, supervisión clínica o evaluación especializada. Fuentes revisadas al 15 de agosto de 2026.</w:t>
            </w:r>
          </w:p>
        </w:tc>
      </w:tr>
    </w:tbl>
    <w:p>
      <w:r>
        <w:br w:type="page"/>
      </w:r>
    </w:p>
    <w:tbl>
      <w:tblPr>
        <w:tblW w:type="auto" w:w="0"/>
        <w:jc w:val="center"/>
        <w:tblLayout w:type="autofit"/>
        <w:tblLook w:firstColumn="1" w:firstRow="1" w:lastColumn="0" w:lastRow="0" w:noHBand="0" w:noVBand="1" w:val="04A0"/>
      </w:tblPr>
      <w:tblGrid>
        <w:gridCol w:w="9648"/>
      </w:tblGrid>
      <w:tr>
        <w:trPr>
          <w:tblHeader w:val="true"/>
        </w:trPr>
        <w:tc>
          <w:tcPr>
            <w:tcW w:type="dxa" w:w="9648"/>
            <w:vAlign w:val="center"/>
            <w:shd w:fill="EAF3F7"/>
            <w:tcBorders>
              <w:start w:val="single" w:sz="14" w:color="2A8C82"/>
            </w:tcBorders>
            <w:tcMar>
              <w:top w:w="130" w:type="dxa"/>
              <w:start w:w="190" w:type="dxa"/>
              <w:bottom w:w="130" w:type="dxa"/>
              <w:end w:w="190" w:type="dxa"/>
            </w:tcMar>
          </w:tcPr>
          <w:p>
            <w:pPr>
              <w:spacing w:after="0"/>
            </w:pPr>
            <w:r>
              <w:rPr>
                <w:b/>
                <w:color w:val="173A5E"/>
              </w:rPr>
              <w:t xml:space="preserve">PREGUNTA CLÍNICA  </w:t>
            </w:r>
            <w:r>
              <w:t>¿Cuándo un conjunto de síntomas constituye un episodio depresivo y qué datos obligan a modificar el diagnóstico, la gravedad o el nivel de atención?</w:t>
            </w:r>
          </w:p>
        </w:tc>
      </w:tr>
    </w:tbl>
    <w:p>
      <w:pPr>
        <w:spacing w:after="0"/>
      </w:pPr>
    </w:p>
    <w:tbl>
      <w:tblPr>
        <w:tblW w:type="auto" w:w="0"/>
        <w:jc w:val="center"/>
        <w:tblLayout w:type="autofit"/>
        <w:tblLook w:firstColumn="1" w:firstRow="1" w:lastColumn="0" w:lastRow="0" w:noHBand="0" w:noVBand="1" w:val="04A0"/>
      </w:tblPr>
      <w:tblGrid>
        <w:gridCol w:w="9648"/>
      </w:tblGrid>
      <w:tr>
        <w:trPr>
          <w:tblHeader w:val="true"/>
        </w:trPr>
        <w:tc>
          <w:tcPr>
            <w:tcW w:type="dxa" w:w="9648"/>
            <w:vAlign w:val="center"/>
            <w:shd w:fill="EAF6F3"/>
            <w:tcBorders>
              <w:start w:val="single" w:sz="14" w:color="2A8C82"/>
            </w:tcBorders>
            <w:tcMar>
              <w:top w:w="130" w:type="dxa"/>
              <w:start w:w="190" w:type="dxa"/>
              <w:bottom w:w="130" w:type="dxa"/>
              <w:end w:w="190" w:type="dxa"/>
            </w:tcMar>
          </w:tcPr>
          <w:p>
            <w:pPr>
              <w:spacing w:after="0"/>
            </w:pPr>
            <w:r>
              <w:rPr>
                <w:b/>
                <w:color w:val="173A5E"/>
              </w:rPr>
              <w:t xml:space="preserve">IDEA CENTRAL  </w:t>
            </w:r>
            <w:r>
              <w:t>la depresión no se diagnostica por tristeza ni por un puntaje aislado. Se reconoce un síndrome clínicamente significativo, se reconstruye su curso y se descartan bipolaridad, psicosis, sustancias y causas médicas antes de decidir el tratamiento.</w:t>
            </w:r>
          </w:p>
        </w:tc>
      </w:tr>
    </w:tbl>
    <w:p>
      <w:pPr>
        <w:spacing w:after="0"/>
      </w:pPr>
    </w:p>
    <w:p>
      <w:pPr>
        <w:pStyle w:val="Heading1"/>
      </w:pPr>
      <w:r>
        <w:t>Por qué importa</w:t>
      </w:r>
    </w:p>
    <w:p>
      <w:r>
        <w:t>La depresión es frecuente y potencialmente incapacitante, pero su aparente familiaridad favorece dos errores opuestos. El primero es sobrediagnosticarla ante cualquier tristeza comprensible. El segundo es negarla cuando existe un duelo, una enfermedad física o un estresor identificable. Para el interno, la tarea relevante no consiste en recitar criterios, sino en demostrar que los síntomas forman un episodio, estimar sus consecuencias y reconocer aquello que vuelve inseguro un manejo rutinario.</w:t>
      </w:r>
    </w:p>
    <w:p>
      <w:r>
        <w:t>En Chile, además, la depresión en personas de 15 años y más está incorporada al GES 34. Conocer esta garantía permite activar oportunamente la red, pero no reemplaza el juicio clínico: una persona con riesgo suicida inmediato, psicosis, catatonía o deterioro médico no debe esperar el plazo administrativo ordinario.</w:t>
      </w:r>
    </w:p>
    <w:p>
      <w:pPr>
        <w:pStyle w:val="Heading1"/>
      </w:pPr>
      <w:r>
        <w:t>Objetivos de aprendizaje</w:t>
      </w:r>
    </w:p>
    <w:p>
      <w:pPr>
        <w:keepNext/>
      </w:pPr>
      <w:r>
        <w:t>Al terminar este capítulo, el estudiante podrá:</w:t>
      </w:r>
    </w:p>
    <w:p>
      <w:pPr>
        <w:spacing w:after="60" w:line="288" w:lineRule="auto"/>
        <w:ind w:left="432" w:hanging="216"/>
      </w:pPr>
      <w:r>
        <w:t>1. Reconocer un episodio depresivo y describir su gravedad sin depender de una escala aislada.</w:t>
      </w:r>
    </w:p>
    <w:p>
      <w:pPr>
        <w:spacing w:after="60" w:line="288" w:lineRule="auto"/>
        <w:ind w:left="432" w:hanging="216"/>
      </w:pPr>
      <w:r>
        <w:t>2. Diferenciar depresión de tristeza, duelo, trastorno adaptativo y síntomas depresivos crónicos.</w:t>
      </w:r>
    </w:p>
    <w:p>
      <w:pPr>
        <w:spacing w:after="60" w:line="288" w:lineRule="auto"/>
        <w:ind w:left="432" w:hanging="216"/>
      </w:pPr>
      <w:r>
        <w:t>3. Investigar sistemáticamente bipolaridad, psicosis, sustancias, fármacos y enfermedad médica.</w:t>
      </w:r>
    </w:p>
    <w:p>
      <w:pPr>
        <w:spacing w:after="60" w:line="288" w:lineRule="auto"/>
        <w:ind w:left="432" w:hanging="216"/>
      </w:pPr>
      <w:r>
        <w:t>4. Integrar suicidalidad, autocuidado, funcionamiento y apoyos al decidir el nivel de atención.</w:t>
      </w:r>
    </w:p>
    <w:p>
      <w:pPr>
        <w:spacing w:after="60" w:line="288" w:lineRule="auto"/>
        <w:ind w:left="432" w:hanging="216"/>
      </w:pPr>
      <w:r>
        <w:t>5. Explicar con precisión las garantías esenciales del GES 34 vigentes en Chile.</w:t>
      </w:r>
    </w:p>
    <w:p>
      <w:pPr>
        <w:pStyle w:val="Heading1"/>
      </w:pPr>
      <w:r>
        <w:t>Caso clínico</w:t>
      </w:r>
    </w:p>
    <w:p>
      <w:pPr>
        <w:shd w:fill="EAF3F7"/>
        <w:keepNext/>
        <w:keepLines/>
        <w:pBdr>
          <w:left w:val="single" w:sz="8" w:space="8" w:color="246B8E"/>
        </w:pBdr>
        <w:ind w:left="173" w:right="86"/>
      </w:pPr>
      <w:r>
        <w:t>Andrés, de 47 años, consulta por seis semanas de ánimo bajo, pérdida de interés, despertar precoz, fatigabilidad, culpa y reducción marcada de su rendimiento laboral. Su padre falleció cuatro meses antes. Desde entonces bebe tres a cuatro vasos de vino cada noche “para dormir”. Tiene hipotiroidismo, pero toma levotiroxina de forma irregular. Al revisar su historia, relata que años atrás, después de iniciar un antidepresivo, pasó ocho días durmiendo tres horas, trabajando de madrugada y haciendo compras inusuales. Lo recuerda como su período de mayor productividad. Niega un plan suicida actual, aunque a veces piensa que su familia estaría mejor sin él.</w:t>
      </w:r>
    </w:p>
    <w:p>
      <w:pPr>
        <w:shd w:fill="EAF3F7"/>
        <w:keepLines/>
        <w:pBdr>
          <w:left w:val="single" w:sz="8" w:space="8" w:color="246B8E"/>
        </w:pBdr>
        <w:ind w:left="173" w:right="86"/>
      </w:pPr>
      <w:r>
        <w:t>Andrés presenta un síndrome depresivo con deterioro. Sin embargo, “depresión por duelo” todavía no es una formulación suficiente: deben aclararse el posible antecedente hipomaníaco, el consumo de alcohol, el control tiroideo y la suicidalidad.</w:t>
      </w:r>
    </w:p>
    <w:p>
      <w:pPr>
        <w:pStyle w:val="Heading1"/>
      </w:pPr>
      <w:r>
        <w:t>Del síntoma al episodio depresivo</w:t>
      </w:r>
    </w:p>
    <w:p>
      <w:r>
        <w:t>El ánimo deprimido y la pérdida de interés o placer son síntomas nucleares. Se exploran junto con cambios en energía, actividad, sueño, apetito o peso, concentración, autoestima, culpa, desesperanza, psicomotricidad y pensamientos de muerte. Importa precisar cuáles representan un cambio respecto del funcionamiento habitual, cuánto tiempo persisten, cuán generalizados son y qué interferencia producen.</w:t>
      </w:r>
    </w:p>
    <w:p>
      <w:r>
        <w:t>Los sistemas diagnósticos exigen una combinación suficiente de síntomas durante un período sostenido, habitualmente de al menos dos semanas. Esa regla orienta, pero no debe funcionar como cronómetro ciego. Un cuadro de menor duración puede necesitar atención si es intenso o peligroso; uno de larga duración puede no corresponder a un episodio depresivo si se explica mejor por otra condición. Tampoco todos los síntomas pesan igual: anhedonia generalizada, culpa mórbida, enlentecimiento psicomotor o ideación suicida aportan información distinta de una fatigabilidad aislada.</w:t>
      </w:r>
    </w:p>
    <w:p>
      <w:r>
        <w:t>Una escala como PHQ-9 puede apoyar la pesquisa y medir cambios, pero no establece por sí sola el diagnóstico. Sus puntajes están influidos por comorbilidad médica, sueño, dolor y contexto. El diagnóstico requiere entrevista, examen mental, curso longitudinal y evaluación funcional.</w:t>
      </w:r>
    </w:p>
    <w:p>
      <w:pPr>
        <w:pStyle w:val="Heading1"/>
      </w:pPr>
      <w:r>
        <w:t>Clasificación clínica y gravedad</w:t>
      </w:r>
    </w:p>
    <w:p>
      <w:r>
        <w:t>La gravedad integra varias dimensiones: número e intensidad de síntomas, sufrimiento, deterioro funcional, capacidad de autocuidado, compromiso físico, psicosis, catatonía y suicidalidad. No es correcto igualar automáticamente un puntaje alto con “depresión grave” ni asumir que una persona que sigue trabajando tiene un cuadro leve. Algunas sostienen el desempeño a un costo extremo; otras presentan deterioro importante con pocos síntomas puntuados.</w:t>
      </w:r>
    </w:p>
    <w:p>
      <w:r>
        <w:t>Conviene describir el episodio actual y el curso: único o recurrente, en remisión parcial o completa, con síntomas psicóticos o sin ellos. También debe pesquisarse estacionalidad, relación perinatal y características melancólicas o atípicas cuando aporten a la formulación. Estos especificadores no sustituyen la descripción concreta.</w:t>
      </w:r>
    </w:p>
    <w:p>
      <w:r>
        <w:t>La depresión psicótica suele incluir delirios de culpa, ruina, enfermedad, nihilismo o merecimiento de castigo, aunque el contenido no siempre es congruente con el ánimo. Requiere evaluación especializada y cambia el tratamiento. La catatonía puede expresarse como estupor, mutismo, negativismo, posturas, excitación no influida por estímulos u otros signos; es una urgencia clínica, no “falta de cooperación”.</w:t>
      </w:r>
    </w:p>
    <w:p>
      <w:pPr>
        <w:pStyle w:val="Heading1"/>
      </w:pPr>
      <w:r>
        <w:t>Duelo, adaptación y síntomas persistentes</w:t>
      </w:r>
    </w:p>
    <w:p>
      <w:r>
        <w:t>El duelo puede producir tristeza intensa, insomnio, retraimiento, culpa y deseos de reunirse con la persona fallecida. No existe una frontera basada exclusivamente en el tiempo desde la pérdida. La pregunta es si se configura un síndrome depresivo adicional, con anhedonia generalizada, desvalorización persistente, culpa no limitada a la relación con el fallecido, deterioro sostenido o ideación suicida, entre otros elementos.</w:t>
      </w:r>
    </w:p>
    <w:p>
      <w:r>
        <w:t>El trastorno adaptativo se plantea cuando una respuesta emocional o conductual clínicamente significativa se relaciona con un estresor y no se explica mejor por otro trastorno. Encontrar un precipitante no basta: muchos episodios depresivos comienzan después de pérdidas, conflictos o enfermedad. El trastorno de duelo prolongado es otra posibilidad cuando predominan añoranza o preocupación persistente por la persona fallecida, alteración identitaria y deterioro más allá de lo esperable en el contexto cultural; sus umbrales temporales difieren entre CIE-11 y DSM-5-TR, por lo que debe declararse el sistema utilizado.</w:t>
      </w:r>
    </w:p>
    <w:p>
      <w:r>
        <w:t>Los síntomas depresivos crónicos obligan a reconstruir años, no semanas. Debe distinguirse un patrón persistente de bajo ánimo de episodios definidos superpuestos, trastornos de personalidad, condiciones médicas, consumo y privaciones sociales mantenidas. Una etiqueta crónica nunca justifica normalizar el sufrimiento ni abandonar la búsqueda de factores tratables.</w:t>
      </w:r>
    </w:p>
    <w:p>
      <w:pPr>
        <w:pStyle w:val="Heading1"/>
      </w:pPr>
      <w:r>
        <w:t>La pregunta bipolar y otros diagnósticos diferenciales</w:t>
      </w:r>
    </w:p>
    <w:p>
      <w:r>
        <w:t>Antes de indicar o escalar un antidepresivo se pregunta por episodios pasados de ánimo elevado o irritable y aumento anormal de energía o actividad. Hay que precisar reducción de necesidad de sueño —no sólo insomnio—, mayor locuacidad, aceleración, grandiosidad, desinhibición, gastos, sexualidad, proyectos y consecuencias observables. La heteroanamnesis suele ser decisiva porque el paciente puede recordar esos períodos como bienestar.</w:t>
      </w:r>
    </w:p>
    <w:p>
      <w:r>
        <w:t>Inicio precoz, recurrencia, antecedentes familiares, depresión posparto, síntomas psicóticos y activación con antidepresivos elevan la sospecha, pero ninguno confirma bipolaridad de forma aislada. Una activación breve limitada a insomnio o ansiedad tampoco equivale a hipomanía. Cuando la sospecha es significativa, se evita una escalada antidepresiva automática y se obtiene evaluación especializada.</w:t>
      </w:r>
    </w:p>
    <w:p>
      <w:r>
        <w:t>También deben considerarse trastornos de ansiedad, trauma, TOC, psicosis, trastornos de personalidad y neurocognitivos. En personas mayores, una primera depresión con cambios cognitivos, neurológicos o de personalidad exige especial cautela diagnóstica.</w:t>
      </w:r>
    </w:p>
    <w:p>
      <w:pPr>
        <w:pStyle w:val="Heading1"/>
      </w:pPr>
      <w:r>
        <w:t>Causas médicas, fármacos y sustancias</w:t>
      </w:r>
    </w:p>
    <w:p>
      <w:r>
        <w:t>La evaluación médica se guía por historia, examen y hallazgos. Se revisan enfermedad tiroidea, anemia, alteraciones metabólicas, dolor, apnea del sueño, enfermedades neurológicas, infecciosas o inflamatorias según el caso. No existe una batería universal de exámenes para toda depresión, pero tampoco es aceptable atribuir automáticamente síntomas físicos al ánimo.</w:t>
      </w:r>
    </w:p>
    <w:p>
      <w:r>
        <w:t>Se construye una línea temporal de medicamentos y exposiciones. Corticoides, interferones, algunos tratamientos hormonales y otros fármacos pueden asociarse a síntomas afectivos en personas susceptibles. La causalidad exige relación temporal, plausibilidad y consideración de alternativas; una lista de efectos adversos no demuestra el diagnóstico.</w:t>
      </w:r>
    </w:p>
    <w:p>
      <w:r>
        <w:t>Alcohol, cannabis, estimulantes, sedantes y otras sustancias pueden precipitar, imitar o mantener síntomas depresivos. Hay que cuantificar patrón, función del consumo, intoxicación, abstinencia y relación temporal. “Bebe socialmente” no es una evaluación.</w:t>
      </w:r>
    </w:p>
    <w:p>
      <w:pPr>
        <w:pStyle w:val="Heading1"/>
      </w:pPr>
      <w:r>
        <w:t>Suicidalidad, funcionamiento y nivel de atención</w:t>
      </w:r>
    </w:p>
    <w:p>
      <w:r>
        <w:t>Toda evaluación de depresión incluye preguntas directas sobre deseos de morir, ideación suicida, intención, plan, acceso a medios, preparativos e intentos previos. La respuesta actual se interpreta junto con el curso, la conducta reciente, la desesperanza, la impulsividad, el consumo, la psicosis, los apoyos y la capacidad de colaborar con un plan.</w:t>
      </w:r>
    </w:p>
    <w:p>
      <w:r>
        <w:t>Se necesita evaluación urgente cuando existe peligro inmediato, intento reciente, preparativos, acceso no reducible a medios, psicosis, catatonía, agitación grave, intoxicación, inanición, deshidratación o incapacidad de autocuidado. La hospitalización se decide por la capacidad real de protección y tratamiento en el entorno disponible, utilizando la alternativa efectiva menos restrictiva.</w:t>
      </w:r>
    </w:p>
    <w:p>
      <w:pPr>
        <w:pStyle w:val="Heading1"/>
      </w:pPr>
      <w:r>
        <w:t>GES 34: lo que el interno debe saber</w:t>
      </w:r>
    </w:p>
    <w:p>
      <w:r>
        <w:t xml:space="preserve">El GES 34 cubre a personas de </w:t>
      </w:r>
      <w:r>
        <w:rPr>
          <w:b/>
        </w:rPr>
        <w:t>15 años y más</w:t>
      </w:r>
      <w:r>
        <w:t xml:space="preserve"> con depresión confirmada por un médico, incluyendo cuadros leves, moderados o severos según las definiciones y la normativa aplicable. La garantía de acceso otorga tratamiento después de la confirmación diagnóstica. Su definición administrativa enumera diagnósticos en terminología CIE-10; esto no convierte la ficha GES en un manual clínico ni invalida el uso docente de CIE-11 o DSM-5-TR, pero obliga a distinguir clasificación clínica de activación de la garantía.</w:t>
      </w:r>
    </w:p>
    <w:p>
      <w:r>
        <w:t xml:space="preserve">La garantía de oportunidad establece que el </w:t>
      </w:r>
      <w:r>
        <w:rPr>
          <w:b/>
        </w:rPr>
        <w:t>tratamiento se inicia de inmediato desde la confirmación diagnóstica</w:t>
      </w:r>
      <w:r>
        <w:t xml:space="preserve">. Cuando corresponde derivación según los criterios de la Norma Técnico Médico Administrativa, la </w:t>
      </w:r>
      <w:r>
        <w:rPr>
          <w:b/>
        </w:rPr>
        <w:t>consulta con especialista debe realizarse dentro de 30 días desde la derivación</w:t>
      </w:r>
      <w:r>
        <w:t>. No existe en esta garantía un plazo separado para confirmar la sospecha.</w:t>
      </w:r>
    </w:p>
    <w:p>
      <w:r>
        <w:t>GES define derechos de acceso, oportunidad, calidad y protección financiera dentro de una red. No significa que toda depresión deba ser tratada por especialista ni que todos los tratamientos imaginables estén cubiertos. El prestador debe informar la confirmación y activar el circuito correspondiente; el paciente debe atenderse en la red designada por FONASA o su ISAPRE para hacer efectiva la cobertura.</w:t>
      </w:r>
    </w:p>
    <w:p>
      <w:pPr>
        <w:pStyle w:val="Heading1"/>
      </w:pPr>
      <w:r>
        <w:t>Errores frecuentes</w:t>
      </w:r>
    </w:p>
    <w:p>
      <w:pPr>
        <w:pStyle w:val="ListBullet"/>
      </w:pPr>
      <w:r>
        <w:t>Diagnosticar depresión por un puntaje o por la presencia de tristeza aislada.</w:t>
      </w:r>
    </w:p>
    <w:p>
      <w:pPr>
        <w:pStyle w:val="ListBullet"/>
      </w:pPr>
      <w:r>
        <w:t>Excluir depresión porque existe un duelo o, a la inversa, patologizar todo duelo intenso.</w:t>
      </w:r>
    </w:p>
    <w:p>
      <w:pPr>
        <w:pStyle w:val="ListBullet"/>
      </w:pPr>
      <w:r>
        <w:t>Preguntar por bipolaridad sólo después de una mala respuesta al antidepresivo.</w:t>
      </w:r>
    </w:p>
    <w:p>
      <w:pPr>
        <w:pStyle w:val="ListBullet"/>
      </w:pPr>
      <w:r>
        <w:t>Omitir consumo, fármacos, causas médicas y heteroanamnesis.</w:t>
      </w:r>
    </w:p>
    <w:p>
      <w:pPr>
        <w:pStyle w:val="ListBullet"/>
      </w:pPr>
      <w:r>
        <w:t>Clasificar gravedad únicamente por el número de síntomas.</w:t>
      </w:r>
    </w:p>
    <w:p>
      <w:pPr>
        <w:pStyle w:val="ListBullet"/>
      </w:pPr>
      <w:r>
        <w:t>Registrar “niega suicidalidad” sin explorar intención, medios, preparativos y antecedentes.</w:t>
      </w:r>
    </w:p>
    <w:p>
      <w:pPr>
        <w:pStyle w:val="ListBullet"/>
      </w:pPr>
      <w:r>
        <w:t>Interpretar el plazo GES como permiso para postergar una urgencia.</w:t>
      </w:r>
    </w:p>
    <w:p>
      <w:pPr>
        <w:pStyle w:val="Heading1"/>
      </w:pPr>
      <w:r>
        <w:t>Para recordar</w:t>
      </w:r>
    </w:p>
    <w:p>
      <w:pPr>
        <w:spacing w:after="60" w:line="288" w:lineRule="auto"/>
        <w:ind w:left="432" w:hanging="216"/>
        <w:shd w:fill="EAF6F3"/>
        <w:keepNext/>
        <w:keepLines/>
        <w:pBdr>
          <w:left w:val="single" w:sz="8" w:space="8" w:color="2A8C82"/>
        </w:pBdr>
      </w:pPr>
      <w:r>
        <w:t>1. Depresión es síndrome, curso y deterioro; no tristeza con código diagnóstico.</w:t>
      </w:r>
    </w:p>
    <w:p>
      <w:pPr>
        <w:spacing w:after="60" w:line="288" w:lineRule="auto"/>
        <w:ind w:left="432" w:hanging="216"/>
        <w:shd w:fill="EAF6F3"/>
        <w:keepNext/>
        <w:keepLines/>
        <w:pBdr>
          <w:left w:val="single" w:sz="8" w:space="8" w:color="2A8C82"/>
        </w:pBdr>
      </w:pPr>
      <w:r>
        <w:t>2. La gravedad incluye riesgo, psicosis, autocuidado y compromiso físico.</w:t>
      </w:r>
    </w:p>
    <w:p>
      <w:pPr>
        <w:spacing w:after="60" w:line="288" w:lineRule="auto"/>
        <w:ind w:left="432" w:hanging="216"/>
        <w:shd w:fill="EAF6F3"/>
        <w:keepNext/>
        <w:keepLines/>
        <w:pBdr>
          <w:left w:val="single" w:sz="8" w:space="8" w:color="2A8C82"/>
        </w:pBdr>
      </w:pPr>
      <w:r>
        <w:t>3. Toda depresión exige una pesquisa longitudinal de bipolaridad.</w:t>
      </w:r>
    </w:p>
    <w:p>
      <w:pPr>
        <w:spacing w:after="60" w:line="288" w:lineRule="auto"/>
        <w:ind w:left="432" w:hanging="216"/>
        <w:shd w:fill="EAF6F3"/>
        <w:keepNext/>
        <w:keepLines/>
        <w:pBdr>
          <w:left w:val="single" w:sz="8" w:space="8" w:color="2A8C82"/>
        </w:pBdr>
      </w:pPr>
      <w:r>
        <w:t>4. Duelo, enfermedad médica y depresión pueden coexistir.</w:t>
      </w:r>
    </w:p>
    <w:p>
      <w:pPr>
        <w:spacing w:after="60" w:line="288" w:lineRule="auto"/>
        <w:ind w:left="432" w:hanging="216"/>
        <w:shd w:fill="EAF6F3"/>
        <w:keepLines/>
        <w:pBdr>
          <w:left w:val="single" w:sz="8" w:space="8" w:color="2A8C82"/>
        </w:pBdr>
      </w:pPr>
      <w:r>
        <w:t>5. En GES 34, el tratamiento comienza desde la confirmación y la consulta especialista ocurre dentro de 30 días desde la derivación; la urgencia clínica no espera.</w:t>
      </w:r>
    </w:p>
    <w:p>
      <w:pPr>
        <w:pStyle w:val="Heading1"/>
      </w:pPr>
      <w:r>
        <w:t>Bibliografía esencial</w:t>
      </w:r>
    </w:p>
    <w:p>
      <w:pPr>
        <w:pStyle w:val="Bibliography"/>
      </w:pPr>
      <w:r>
        <w:t xml:space="preserve">• World Health Organization. </w:t>
      </w:r>
      <w:r>
        <w:rPr>
          <w:i/>
        </w:rPr>
        <w:t>Clinical descriptions and diagnostic requirements for ICD-11 mental, behavioural and neurodevelopmental disorders</w:t>
      </w:r>
      <w:r>
        <w:t xml:space="preserve">. 2024. </w:t>
      </w:r>
      <w:hyperlink r:id="rId14">
        <w:r>
          <w:rPr>
            <w:color w:val="246B8E"/>
            <w:u w:val="single"/>
          </w:rPr>
          <w:t>Publicación oficial</w:t>
        </w:r>
      </w:hyperlink>
      <w:r>
        <w:t>.</w:t>
      </w:r>
    </w:p>
    <w:p>
      <w:pPr>
        <w:pStyle w:val="Bibliography"/>
      </w:pPr>
      <w:r>
        <w:t xml:space="preserve">• Ministerio de Salud de Chile. </w:t>
      </w:r>
      <w:r>
        <w:rPr>
          <w:i/>
        </w:rPr>
        <w:t>Problema de Salud N.º 34: Depresión en personas de 15 años y más</w:t>
      </w:r>
      <w:r>
        <w:t xml:space="preserve">. AUGE/GES. </w:t>
      </w:r>
      <w:hyperlink r:id="rId29">
        <w:r>
          <w:rPr>
            <w:color w:val="246B8E"/>
            <w:u w:val="single"/>
          </w:rPr>
          <w:t>Ficha oficial</w:t>
        </w:r>
      </w:hyperlink>
      <w:r>
        <w:t>.</w:t>
      </w:r>
    </w:p>
    <w:p>
      <w:pPr>
        <w:pStyle w:val="Bibliography"/>
      </w:pPr>
      <w:r>
        <w:t xml:space="preserve">• Superintendencia de Salud. </w:t>
      </w:r>
      <w:r>
        <w:rPr>
          <w:i/>
        </w:rPr>
        <w:t>Depresión en personas de 15 años y más</w:t>
      </w:r>
      <w:r>
        <w:t xml:space="preserve">. </w:t>
      </w:r>
      <w:hyperlink r:id="rId30">
        <w:r>
          <w:rPr>
            <w:color w:val="246B8E"/>
            <w:u w:val="single"/>
          </w:rPr>
          <w:t>Orientación GES oficial</w:t>
        </w:r>
      </w:hyperlink>
      <w:r>
        <w:t>.</w:t>
      </w:r>
    </w:p>
    <w:p>
      <w:pPr>
        <w:pStyle w:val="Bibliography"/>
      </w:pPr>
      <w:r>
        <w:t xml:space="preserve">• National Institute for Health and Care Excellence. </w:t>
      </w:r>
      <w:r>
        <w:rPr>
          <w:i/>
        </w:rPr>
        <w:t>Depression in adults: treatment and management</w:t>
      </w:r>
      <w:r>
        <w:t xml:space="preserve">. NICE guideline NG222. 2022; revisada en enero de 2026 sin cambio de recomendaciones. </w:t>
      </w:r>
      <w:hyperlink r:id="rId31">
        <w:r>
          <w:rPr>
            <w:color w:val="246B8E"/>
            <w:u w:val="single"/>
          </w:rPr>
          <w:t>Guía</w:t>
        </w:r>
      </w:hyperlink>
      <w:r>
        <w:t>.</w:t>
      </w:r>
    </w:p>
    <w:p>
      <w:pPr>
        <w:pStyle w:val="Bibliography"/>
      </w:pPr>
      <w:r>
        <w:t xml:space="preserve">• Department of Veterans Affairs &amp; Department of Defense. </w:t>
      </w:r>
      <w:r>
        <w:rPr>
          <w:i/>
        </w:rPr>
        <w:t>VA/DoD Clinical Practice Guideline for the Management of Major Depressive Disorder</w:t>
      </w:r>
      <w:r>
        <w:t xml:space="preserve">. 2022. </w:t>
      </w:r>
      <w:hyperlink r:id="rId32">
        <w:r>
          <w:rPr>
            <w:color w:val="246B8E"/>
            <w:u w:val="single"/>
          </w:rPr>
          <w:t>Guía</w:t>
        </w:r>
      </w:hyperlink>
      <w:r>
        <w:t>.</w:t>
      </w:r>
    </w:p>
    <w:p>
      <w:pPr>
        <w:pStyle w:val="Bibliography"/>
      </w:pPr>
      <w:r>
        <w:t xml:space="preserve">• Kroenke K, Spitzer RL, Williams JBW. The PHQ-9: validity of a brief depression severity measure. </w:t>
      </w:r>
      <w:r>
        <w:rPr>
          <w:i/>
        </w:rPr>
        <w:t>Journal of General Internal Medicine</w:t>
      </w:r>
      <w:r>
        <w:t xml:space="preserve">. 2001;16(9):606–613. </w:t>
      </w:r>
      <w:hyperlink r:id="rId33">
        <w:r>
          <w:rPr>
            <w:color w:val="246B8E"/>
            <w:u w:val="single"/>
          </w:rPr>
          <w:t>doi:10.1046/j.1525-1497.2001.016009606.x</w:t>
        </w:r>
      </w:hyperlink>
      <w:r>
        <w:t>.</w:t>
      </w:r>
    </w:p>
    <w:p>
      <w:r>
        <w:br w:type="page"/>
      </w:r>
    </w:p>
    <w:p>
      <w:pPr>
        <w:spacing w:after="480"/>
      </w:pPr>
      <w:r>
        <w:rPr>
          <w:rFonts w:ascii="Calibri" w:hAnsi="Calibri"/>
          <w:b/>
          <w:color w:val="2A8C82"/>
          <w:sz w:val="20"/>
        </w:rPr>
        <w:t>CAPÍTULO 12 · MATERIAL PARA ESTUDIANTES</w:t>
      </w:r>
    </w:p>
    <w:tbl>
      <w:tblPr>
        <w:tblW w:type="auto" w:w="0"/>
        <w:jc w:val="left"/>
        <w:tblLayout w:type="fixed"/>
        <w:tblLook w:firstColumn="1" w:firstRow="1" w:lastColumn="0" w:lastRow="0" w:noHBand="0" w:noVBand="1" w:val="04A0"/>
      </w:tblPr>
      <w:tblGrid>
        <w:gridCol w:w="9648"/>
      </w:tblGrid>
      <w:tr>
        <w:trPr>
          <w:tblHeader w:val="true"/>
        </w:trPr>
        <w:tc>
          <w:tcPr>
            <w:tcW w:type="dxa" w:w="9072"/>
            <w:shd w:fill="173A5E"/>
            <w:tcMar>
              <w:top w:w="120" w:type="dxa"/>
              <w:start w:w="220" w:type="dxa"/>
              <w:bottom w:w="120" w:type="dxa"/>
              <w:end w:w="220" w:type="dxa"/>
            </w:tcMar>
          </w:tcPr>
          <w:p>
            <w:pPr>
              <w:spacing w:after="0"/>
            </w:pPr>
            <w:r>
              <w:rPr>
                <w:rFonts w:ascii="Calibri" w:hAnsi="Calibri"/>
                <w:b/>
                <w:color w:val="FFFFFF"/>
                <w:sz w:val="19"/>
              </w:rPr>
              <w:t>MÓDULO II · PATOLOGÍAS, GES Y TRATAMIENTOS</w:t>
            </w:r>
          </w:p>
        </w:tc>
      </w:tr>
    </w:tbl>
    <w:p>
      <w:pPr>
        <w:pStyle w:val="Title"/>
        <w:spacing w:before="520" w:after="360"/>
        <w:outlineLvl w:val="0"/>
      </w:pPr>
      <w:bookmarkStart w:id="1012" w:name="chapter_12"/>
      <w:r>
        <w:t>Tratamiento de la depresión</w:t>
      </w:r>
      <w:bookmarkEnd w:id="1012"/>
    </w:p>
    <w:p>
      <w:pPr>
        <w:spacing w:after="80"/>
      </w:pPr>
      <w:r>
        <w:rPr>
          <w:rFonts w:ascii="Calibri" w:hAnsi="Calibri"/>
          <w:b/>
          <w:color w:val="246B8E"/>
          <w:sz w:val="26"/>
        </w:rPr>
        <w:t>Programa de Psiquiatría para internos de Medicina</w:t>
      </w:r>
    </w:p>
    <w:p>
      <w:r>
        <w:rPr>
          <w:rFonts w:ascii="Calibri" w:hAnsi="Calibri"/>
          <w:color w:val="6B7280"/>
          <w:sz w:val="22"/>
        </w:rPr>
        <w:t>Lectura complementaria · Chile · Versión final para revisión humana · 2026</w:t>
      </w:r>
    </w:p>
    <w:p/>
    <w:p/>
    <w:p/>
    <w:p/>
    <w:p/>
    <w:tbl>
      <w:tblPr>
        <w:tblW w:type="auto" w:w="0"/>
        <w:jc w:val="left"/>
        <w:tblLayout w:type="fixed"/>
        <w:tblLook w:firstColumn="1" w:firstRow="1" w:lastColumn="0" w:lastRow="0" w:noHBand="0" w:noVBand="1" w:val="04A0"/>
      </w:tblPr>
      <w:tblGrid>
        <w:gridCol w:w="9648"/>
      </w:tblGrid>
      <w:tr>
        <w:trPr>
          <w:tblHeader w:val="true"/>
        </w:trPr>
        <w:tc>
          <w:tcPr>
            <w:tcW w:type="dxa" w:w="9648"/>
            <w:shd w:fill="F3F5F6"/>
            <w:tcBorders>
              <w:start w:val="single" w:sz="18" w:color="2A8C82"/>
            </w:tcBorders>
            <w:tcMar>
              <w:top w:w="160" w:type="dxa"/>
              <w:start w:w="220" w:type="dxa"/>
              <w:bottom w:w="160" w:type="dxa"/>
              <w:end w:w="220" w:type="dxa"/>
            </w:tcMar>
          </w:tcPr>
          <w:p>
            <w:pPr>
              <w:spacing w:after="0"/>
            </w:pPr>
            <w:r>
              <w:rPr>
                <w:rFonts w:ascii="Calibri" w:hAnsi="Calibri"/>
                <w:i/>
                <w:color w:val="6B7280"/>
                <w:sz w:val="18"/>
              </w:rPr>
              <w:t>Versión docente final para revisión humana. Material propuesto y contextualizado a Chile; no corresponde a un programa oficial de la Pontificia Universidad Católica de Chile ni sustituye protocolos locales, supervisión clínica o evaluación especializada. Fuentes revisadas al 15 de agosto de 2026.</w:t>
            </w:r>
          </w:p>
        </w:tc>
      </w:tr>
    </w:tbl>
    <w:p>
      <w:r>
        <w:br w:type="page"/>
      </w:r>
    </w:p>
    <w:tbl>
      <w:tblPr>
        <w:tblW w:type="auto" w:w="0"/>
        <w:jc w:val="center"/>
        <w:tblLayout w:type="autofit"/>
        <w:tblLook w:firstColumn="1" w:firstRow="1" w:lastColumn="0" w:lastRow="0" w:noHBand="0" w:noVBand="1" w:val="04A0"/>
      </w:tblPr>
      <w:tblGrid>
        <w:gridCol w:w="9648"/>
      </w:tblGrid>
      <w:tr>
        <w:trPr>
          <w:tblHeader w:val="true"/>
        </w:trPr>
        <w:tc>
          <w:tcPr>
            <w:tcW w:type="dxa" w:w="9648"/>
            <w:vAlign w:val="center"/>
            <w:shd w:fill="EAF3F7"/>
            <w:tcBorders>
              <w:start w:val="single" w:sz="14" w:color="2A8C82"/>
            </w:tcBorders>
            <w:tcMar>
              <w:top w:w="130" w:type="dxa"/>
              <w:start w:w="190" w:type="dxa"/>
              <w:bottom w:w="130" w:type="dxa"/>
              <w:end w:w="190" w:type="dxa"/>
            </w:tcMar>
          </w:tcPr>
          <w:p>
            <w:pPr>
              <w:spacing w:after="0"/>
            </w:pPr>
            <w:r>
              <w:rPr>
                <w:b/>
                <w:color w:val="173A5E"/>
              </w:rPr>
              <w:t xml:space="preserve">PREGUNTA CLÍNICA  </w:t>
            </w:r>
            <w:r>
              <w:t>¿Cómo seleccionar, iniciar y evaluar un tratamiento antidepresivo de modo que la prescripción sea parte de un plan y no un acto aislado?</w:t>
            </w:r>
          </w:p>
        </w:tc>
      </w:tr>
    </w:tbl>
    <w:p>
      <w:pPr>
        <w:spacing w:after="0"/>
      </w:pPr>
    </w:p>
    <w:tbl>
      <w:tblPr>
        <w:tblW w:type="auto" w:w="0"/>
        <w:jc w:val="center"/>
        <w:tblLayout w:type="autofit"/>
        <w:tblLook w:firstColumn="1" w:firstRow="1" w:lastColumn="0" w:lastRow="0" w:noHBand="0" w:noVBand="1" w:val="04A0"/>
      </w:tblPr>
      <w:tblGrid>
        <w:gridCol w:w="9648"/>
      </w:tblGrid>
      <w:tr>
        <w:trPr>
          <w:tblHeader w:val="true"/>
        </w:trPr>
        <w:tc>
          <w:tcPr>
            <w:tcW w:type="dxa" w:w="9648"/>
            <w:vAlign w:val="center"/>
            <w:shd w:fill="EAF6F3"/>
            <w:tcBorders>
              <w:start w:val="single" w:sz="14" w:color="2A8C82"/>
            </w:tcBorders>
            <w:tcMar>
              <w:top w:w="130" w:type="dxa"/>
              <w:start w:w="190" w:type="dxa"/>
              <w:bottom w:w="130" w:type="dxa"/>
              <w:end w:w="190" w:type="dxa"/>
            </w:tcMar>
          </w:tcPr>
          <w:p>
            <w:pPr>
              <w:spacing w:after="0"/>
            </w:pPr>
            <w:r>
              <w:rPr>
                <w:b/>
                <w:color w:val="173A5E"/>
              </w:rPr>
              <w:t xml:space="preserve">IDEA CENTRAL  </w:t>
            </w:r>
            <w:r>
              <w:t>tratar depresión exige acordar objetivos, escoger una intervención compatible con gravedad y preferencias, medir respuesta y tolerabilidad, y modificar el plan cuando la evolución real no coincide con la esperada.</w:t>
            </w:r>
          </w:p>
        </w:tc>
      </w:tr>
    </w:tbl>
    <w:p>
      <w:pPr>
        <w:spacing w:after="0"/>
      </w:pPr>
    </w:p>
    <w:p>
      <w:pPr>
        <w:pStyle w:val="Heading1"/>
      </w:pPr>
      <w:r>
        <w:t>Por qué importa</w:t>
      </w:r>
    </w:p>
    <w:p>
      <w:r>
        <w:t>Una receta puede emitirse en minutos; un tratamiento bien conducido requiere semanas de observación y decisiones explícitas. La mayoría de los fracasos tempranos no se debe a que “ningún antidepresivo funciona”, sino a diagnóstico incompleto, dosis o duración insuficientes, mala adherencia, efectos adversos no preguntados, expectativas irreales o seguimiento demasiado tardío.</w:t>
      </w:r>
    </w:p>
    <w:p>
      <w:r>
        <w:t>El interno no necesita memorizar una tabla infinita de fármacos. Debe comprender qué variables discriminan entre opciones, cómo educar sin prometer una respuesta y cuándo una evolución obliga a revisar el diagnóstico o derivar.</w:t>
      </w:r>
    </w:p>
    <w:p>
      <w:pPr>
        <w:pStyle w:val="Heading1"/>
      </w:pPr>
      <w:r>
        <w:t>Objetivos de aprendizaje</w:t>
      </w:r>
    </w:p>
    <w:p>
      <w:pPr>
        <w:keepNext/>
      </w:pPr>
      <w:r>
        <w:t>Al terminar este capítulo, el estudiante podrá:</w:t>
      </w:r>
    </w:p>
    <w:p>
      <w:pPr>
        <w:spacing w:after="60" w:line="288" w:lineRule="auto"/>
        <w:ind w:left="432" w:hanging="216"/>
      </w:pPr>
      <w:r>
        <w:t>1. Definir objetivos de fase aguda, continuación, mantención y suspensión.</w:t>
      </w:r>
    </w:p>
    <w:p>
      <w:pPr>
        <w:spacing w:after="60" w:line="288" w:lineRule="auto"/>
        <w:ind w:left="432" w:hanging="216"/>
      </w:pPr>
      <w:r>
        <w:t>2. Seleccionar entre intervenciones psicológicas, farmacológicas y combinadas según el cuadro.</w:t>
      </w:r>
    </w:p>
    <w:p>
      <w:pPr>
        <w:spacing w:after="60" w:line="288" w:lineRule="auto"/>
        <w:ind w:left="432" w:hanging="216"/>
      </w:pPr>
      <w:r>
        <w:t>3. Elegir un antidepresivo inicial considerando seguridad, comorbilidad, interacciones y preferencias.</w:t>
      </w:r>
    </w:p>
    <w:p>
      <w:pPr>
        <w:spacing w:after="60" w:line="288" w:lineRule="auto"/>
        <w:ind w:left="432" w:hanging="216"/>
      </w:pPr>
      <w:r>
        <w:t>4. Educar sobre latencia, efectos adversos, activación y síntomas de retirada.</w:t>
      </w:r>
    </w:p>
    <w:p>
      <w:pPr>
        <w:spacing w:after="60" w:line="288" w:lineRule="auto"/>
        <w:ind w:left="432" w:hanging="216"/>
      </w:pPr>
      <w:r>
        <w:t>5. Medir respuesta, remisión y recuperación funcional mediante seguimiento estructurado.</w:t>
      </w:r>
    </w:p>
    <w:p>
      <w:pPr>
        <w:spacing w:after="60" w:line="288" w:lineRule="auto"/>
        <w:ind w:left="432" w:hanging="216"/>
      </w:pPr>
      <w:r>
        <w:t>6. Actuar frente a respuesta parcial, ausencia de respuesta o intolerancia sin polifarmacia improvisada.</w:t>
      </w:r>
    </w:p>
    <w:p>
      <w:pPr>
        <w:pStyle w:val="Heading1"/>
      </w:pPr>
      <w:r>
        <w:t>Caso clínico</w:t>
      </w:r>
    </w:p>
    <w:p>
      <w:pPr>
        <w:shd w:fill="EAF3F7"/>
        <w:keepNext/>
        <w:keepLines/>
        <w:pBdr>
          <w:left w:val="single" w:sz="8" w:space="8" w:color="246B8E"/>
        </w:pBdr>
        <w:ind w:left="173" w:right="86"/>
      </w:pPr>
      <w:r>
        <w:t>Laura, de 35 años, presenta ocho semanas de depresión moderada, migraña e insomnio de conciliación. La disminución de libido comenzó antes del episodio y afecta su relación. Teme “hacerse dependiente” de un antidepresivo y prefiere psicoterapia, pero su primera hora disponible es en seis semanas. No tiene antecedentes de manía, consumo problemático, psicosis ni riesgo suicida inmediato.</w:t>
      </w:r>
    </w:p>
    <w:p>
      <w:pPr>
        <w:shd w:fill="EAF3F7"/>
        <w:keepLines/>
        <w:pBdr>
          <w:left w:val="single" w:sz="8" w:space="8" w:color="246B8E"/>
        </w:pBdr>
        <w:ind w:left="173" w:right="86"/>
      </w:pPr>
      <w:r>
        <w:t>El tratamiento debe integrar su preferencia, el acceso diferido a psicoterapia, el sueño, la sexualidad, la migraña y la posibilidad de seguimiento. No existe un fármaco universalmente “más fuerte” que resuelva esas decisiones.</w:t>
      </w:r>
    </w:p>
    <w:p>
      <w:pPr>
        <w:pStyle w:val="Heading1"/>
      </w:pPr>
      <w:r>
        <w:t>Objetivos y fases del tratamiento</w:t>
      </w:r>
    </w:p>
    <w:p>
      <w:r>
        <w:t>La fase aguda busca respuesta y, de ser posible, remisión: ausencia o mínima presencia de síntomas junto con recuperación funcional. Una reducción parcial puede ser clínicamente relevante, pero deja mayor riesgo de recaída y exige decidir si se optimiza el tratamiento.</w:t>
      </w:r>
    </w:p>
    <w:p>
      <w:r>
        <w:t>La continuación comienza después de la remisión y pretende consolidarla. Para la mayoría de los primeros episodios tratados con antidepresivo, se mantiene la dosis eficaz al menos seis meses después de la remisión, con revisiones. La mantención más prolongada se considera ante episodios recurrentes, graves, psicóticos, residuales, de difícil tratamiento o con consecuencias importantes. No debe transformarse en una renovación automática: se revisan beneficios, efectos, preferencias y riesgo de recurrencia.</w:t>
      </w:r>
    </w:p>
    <w:p>
      <w:r>
        <w:t>Antes de iniciar se registra una línea basal: síntomas diana, funcionamiento, sueño, apetito, sexualidad, peso cuando corresponda, suicidalidad y posibles efectos que podrían confundirse luego con reacciones al tratamiento. También se acuerda qué resultado significará mejoría y en qué plazo se revisará.</w:t>
      </w:r>
    </w:p>
    <w:p>
      <w:pPr>
        <w:pStyle w:val="Heading1"/>
      </w:pPr>
      <w:r>
        <w:t>Elegir la modalidad de tratamiento</w:t>
      </w:r>
    </w:p>
    <w:p>
      <w:r>
        <w:t>En depresión menos grave, intervenciones psicológicas estructuradas —como activación conductual, terapia cognitivo-conductual o autoayuda guiada basada en evidencia— suelen ser opciones iniciales. Un antidepresivo no debe ofrecerse rutinariamente como primera opción si la persona no lo prefiere, aunque puede ser razonable según historia, disponibilidad, persistencia y decisión compartida.</w:t>
      </w:r>
    </w:p>
    <w:p>
      <w:r>
        <w:t>En depresión moderada o grave, la psicoterapia de mayor intensidad, la farmacoterapia o su combinación son alternativas. La combinación suele ser especialmente pertinente cuando el deterioro es mayor, existe recurrencia o una modalidad aislada fue insuficiente. Psicosis, catatonía, rechazo alimentario, riesgo grave o sospecha bipolar modifican el algoritmo y exigen atención especializada.</w:t>
      </w:r>
    </w:p>
    <w:p>
      <w:r>
        <w:t>Medidas como regular horarios, reducir alcohol, recuperar actividad, tratar dolor o apnea del sueño y fortalecer apoyo social son componentes reales, no adornos. Sin embargo, “haga ejercicio y duerma mejor” no reemplaza un tratamiento indicado para un episodio significativo.</w:t>
      </w:r>
    </w:p>
    <w:p>
      <w:pPr>
        <w:pStyle w:val="Heading1"/>
      </w:pPr>
      <w:r>
        <w:t>Selección razonada de un antidepresivo</w:t>
      </w:r>
    </w:p>
    <w:p>
      <w:r>
        <w:t>Para muchas personas, un inhibidor selectivo de recaptura de serotonina (ISRS) constituye una opción inicial por su balance entre eficacia, tolerabilidad y seguridad. La elección dentro o fuera de esa familia se guía por respuesta previa, antecedentes familiares, síntomas predominantes, comorbilidades, medicamentos concomitantes, riesgo de sobredosis, embarazo o lactancia, costo y preferencias.</w:t>
      </w:r>
    </w:p>
    <w:p>
      <w:pPr>
        <w:keepNext/>
      </w:pPr>
      <w:r>
        <w:t>Algunos perfiles orientan, sin convertirse en recetas mecánicas:</w:t>
      </w:r>
    </w:p>
    <w:p>
      <w:pPr>
        <w:pStyle w:val="ListBullet"/>
      </w:pPr>
      <w:r>
        <w:t>Sertralina y escitalopram se utilizan con frecuencia por tolerabilidad general; deben revisarse interacciones, efectos sexuales y, según el contexto, riesgo de hiponatremia o alteración del QT.</w:t>
      </w:r>
    </w:p>
    <w:p>
      <w:pPr>
        <w:pStyle w:val="ListBullet"/>
      </w:pPr>
      <w:r>
        <w:t>Fluoxetina tiene vida media larga y menor riesgo de síntomas de retirada por dosis omitidas, pero puede resultar activante e interactuar mediante inhibición enzimática.</w:t>
      </w:r>
    </w:p>
    <w:p>
      <w:pPr>
        <w:pStyle w:val="ListBullet"/>
      </w:pPr>
      <w:r>
        <w:t>Venlafaxina y duloxetina pueden ser útiles cuando coexisten ciertos cuadros dolorosos o ansiosos; requieren atención a presión arterial, retirada e interacciones.</w:t>
      </w:r>
    </w:p>
    <w:p>
      <w:pPr>
        <w:pStyle w:val="ListBullet"/>
      </w:pPr>
      <w:r>
        <w:t>Mirtazapina puede favorecer sueño y apetito, a costa de sedación y aumento de peso en algunas personas.</w:t>
      </w:r>
    </w:p>
    <w:p>
      <w:pPr>
        <w:pStyle w:val="ListBullet"/>
      </w:pPr>
      <w:r>
        <w:t>Bupropión suele producir menos efectos sexuales y puede resultar activante o agravar insomnio en algunas personas; la ansiedad comórbida, por sí sola, no permite predecir mala respuesta. Está contraindicado cuando existe antecedente actual o previo de anorexia nerviosa o bulimia nerviosa, además de otras situaciones que elevan el riesgo convulsivo.</w:t>
      </w:r>
    </w:p>
    <w:p>
      <w:pPr>
        <w:pStyle w:val="ListBullet"/>
      </w:pPr>
      <w:r>
        <w:t>Tricíclicos e inhibidores de monoaminooxidasa conservan indicaciones, pero su toxicidad, interacciones y complejidad los alejan de una elección rutinaria inicial; los tricíclicos son especialmente peligrosos en sobredosis.</w:t>
      </w:r>
    </w:p>
    <w:p>
      <w:r>
        <w:t>Estas tendencias no predicen la respuesta individual. No corresponde elegir sólo por un síntoma —“insomnio igual a mirtazapina”— ni sumar medicamentos para tratar sucesivamente cada efecto adverso.</w:t>
      </w:r>
    </w:p>
    <w:p>
      <w:pPr>
        <w:pStyle w:val="Heading1"/>
      </w:pPr>
      <w:r>
        <w:t>Inicio seguro, educación y seguimiento</w:t>
      </w:r>
    </w:p>
    <w:p>
      <w:pPr>
        <w:keepNext/>
      </w:pPr>
      <w:r>
        <w:t>Se inicia habitualmente con una dosis tolerable y se titula según respuesta, efectos, edad, función hepática o renal e interacciones. Dosis muy bajas mantenidas indefinidamente pueden generar pseudorresistencia; titulación rápida puede deteriorar adherencia. La educación debe incluir:</w:t>
      </w:r>
    </w:p>
    <w:p>
      <w:pPr>
        <w:pStyle w:val="ListBullet"/>
      </w:pPr>
      <w:r>
        <w:t>El beneficio no es inmediato. Pueden aparecer cambios iniciales durante las primeras semanas, pero la remisión suele requerir más tiempo.</w:t>
      </w:r>
    </w:p>
    <w:p>
      <w:pPr>
        <w:pStyle w:val="ListBullet"/>
      </w:pPr>
      <w:r>
        <w:t>Náuseas, cefalea, cambios de sueño, activación y disfunción sexual son posibles y deben preguntarse activamente.</w:t>
      </w:r>
    </w:p>
    <w:p>
      <w:pPr>
        <w:pStyle w:val="ListBullet"/>
      </w:pPr>
      <w:r>
        <w:t xml:space="preserve">Los antidepresivos no suelen producir adicción caracterizada por intoxicación, </w:t>
      </w:r>
      <w:r>
        <w:rPr>
          <w:i/>
        </w:rPr>
        <w:t>craving</w:t>
      </w:r>
      <w:r>
        <w:t xml:space="preserve"> y búsqueda compulsiva, pero generan adaptación fisiológica en algunas personas y pueden causar síntomas de retirada al reducirlos o suspenderlos, especialmente si el cambio es brusco.</w:t>
      </w:r>
    </w:p>
    <w:p>
      <w:pPr>
        <w:pStyle w:val="ListBullet"/>
      </w:pPr>
      <w:r>
        <w:t>Agitación marcada, empeoramiento de suicidalidad, reducción de necesidad de sueño, desinhibición o síntomas psicóticos requieren contacto anticipado.</w:t>
      </w:r>
    </w:p>
    <w:p>
      <w:r>
        <w:t>La primera revisión de una nueva prescripción suele realizarse dentro de dos semanas. Si la persona tiene entre 18 y 25 años o existe preocupación particular por riesgo suicida, se revisa aproximadamente a la semana y nuevamente con la frecuencia que el caso requiera. En cada contacto se evalúan adherencia real, efectos, suicidalidad, funcionamiento y cambios contextuales; no basta preguntar “¿cómo se ha sentido?”.</w:t>
      </w:r>
    </w:p>
    <w:p>
      <w:r>
        <w:t>Serotonina no es sinónimo de inocuidad. La combinación de múltiples agentes serotoninérgicos puede provocar un síndrome de toxicidad con cambios mentales, hiperactividad autonómica y hallazgos neuromusculares. El riesgo aumenta con combinaciones contraindicadas, especialmente con inhibidores de monoaminooxidasa. Los cambios entre fármacos requieren conocer vida media, interacciones y necesidad de lavado o titulación cruzada.</w:t>
      </w:r>
    </w:p>
    <w:p>
      <w:pPr>
        <w:pStyle w:val="Heading1"/>
      </w:pPr>
      <w:r>
        <w:t>Medir respuesta y decidir a tiempo</w:t>
      </w:r>
    </w:p>
    <w:p>
      <w:r>
        <w:t>Conviene usar la misma medida breve de síntomas a lo largo del tratamiento, acompañada de metas funcionales concretas. Respuesta suele describir una reducción importante de síntomas; remisión, un nivel mínimo; recuperación agrega estabilidad y funcionamiento. La escala informa, pero una mejoría numérica sin retorno al estudio, trabajo, vínculos o autocuidado puede seguir siendo insuficiente.</w:t>
      </w:r>
    </w:p>
    <w:p>
      <w:r>
        <w:t>Si a las dos a cuatro semanas no existe ninguna señal de mejoría, se revisan diagnóstico, dosis, adherencia, consumo, interacciones, eventos adversos y continuidad del estresor. Una evaluación completa de eficacia suele necesitar aproximadamente seis a ocho semanas, con tiempo suficiente a dosis terapéutica, salvo intolerancia, empeoramiento o urgencia. Esperar ocho semanas con una dosis inefectiva o frente a deterioro no es una virtud metodológica.</w:t>
      </w:r>
    </w:p>
    <w:p>
      <w:r>
        <w:t>Ante respuesta parcial y buena tolerancia puede optimizarse la dosis y prolongarse la observación, explicando que dosis mayores no siempre aumentan eficacia y sí pueden aumentar efectos adversos. Ante ausencia de respuesta, intolerancia o preferencia por otra estrategia puede cambiarse el antidepresivo o incorporarse psicoterapia. Las combinaciones, la potenciación con litio o antipsicóticos seleccionados y otras estrategias corresponden habitualmente a atención especializada, con objetivos y monitorización explícitos.</w:t>
      </w:r>
    </w:p>
    <w:p>
      <w:pPr>
        <w:pStyle w:val="Heading1"/>
      </w:pPr>
      <w:r>
        <w:t>Continuación y suspensión</w:t>
      </w:r>
    </w:p>
    <w:p>
      <w:r>
        <w:t>Tras la remisión se mantiene inicialmente la dosis que funcionó. Se construye un plan de prevención de recaída que identifique señales tempranas, factores precipitantes, hábitos protectores y vía de reingreso a atención. En recurrencia, la decisión de mantención prolongada se comparte y se revisa periódicamente.</w:t>
      </w:r>
    </w:p>
    <w:p>
      <w:r>
        <w:t>La suspensión se realiza gradualmente. El ritmo depende del fármaco, dosis, duración del uso, experiencias previas y síntomas emergentes; después de tratamientos prolongados puede requerir reducciones pequeñas durante semanas o meses. Mareos, sensaciones eléctricas, náuseas, irritabilidad, ansiedad y alteraciones del sueño poco después de bajar dosis sugieren retirada, aunque debe diferenciarse de recaída. Si los síntomas son intensos puede ser necesario volver temporalmente a la dosis previa y reducir más lentamente.</w:t>
      </w:r>
    </w:p>
    <w:p>
      <w:r>
        <w:t>En Laura, una decisión razonable puede combinar apoyo y activación desde ahora, mantener la cita de psicoterapia y discutir farmacoterapia según sus prioridades. La elección debe transparentar el posible impacto sexual y sobre el sueño, definir revisión precoz y no presentar el fármaco como sustituto obligado de la terapia que prefiere.</w:t>
      </w:r>
    </w:p>
    <w:p>
      <w:pPr>
        <w:pStyle w:val="Heading1"/>
      </w:pPr>
      <w:r>
        <w:t>Errores frecuentes</w:t>
      </w:r>
    </w:p>
    <w:p>
      <w:pPr>
        <w:pStyle w:val="ListBullet"/>
      </w:pPr>
      <w:r>
        <w:t>Elegir por supuesta “potencia” y no por balance clínico.</w:t>
      </w:r>
    </w:p>
    <w:p>
      <w:pPr>
        <w:pStyle w:val="ListBullet"/>
      </w:pPr>
      <w:r>
        <w:t>Prescribir sin línea basal, educación ni fecha de control.</w:t>
      </w:r>
    </w:p>
    <w:p>
      <w:pPr>
        <w:pStyle w:val="ListBullet"/>
      </w:pPr>
      <w:r>
        <w:t>Declarar fracaso antes de alcanzar una exposición adecuada o prolongar un ensayo sin beneficio.</w:t>
      </w:r>
    </w:p>
    <w:p>
      <w:pPr>
        <w:pStyle w:val="ListBullet"/>
      </w:pPr>
      <w:r>
        <w:t>Omitir bipolaridad ante activación, insomnio o desinhibición.</w:t>
      </w:r>
    </w:p>
    <w:p>
      <w:pPr>
        <w:pStyle w:val="ListBullet"/>
      </w:pPr>
      <w:r>
        <w:t>Confundir síntomas de retirada con recaída automática.</w:t>
      </w:r>
    </w:p>
    <w:p>
      <w:pPr>
        <w:pStyle w:val="ListBullet"/>
      </w:pPr>
      <w:r>
        <w:t>Suspender bruscamente o usar el mismo esquema de reducción para todos.</w:t>
      </w:r>
    </w:p>
    <w:p>
      <w:pPr>
        <w:pStyle w:val="ListBullet"/>
      </w:pPr>
      <w:r>
        <w:t>Añadir fármacos para cada efecto adverso sin reconsiderar el tratamiento principal.</w:t>
      </w:r>
    </w:p>
    <w:p>
      <w:pPr>
        <w:pStyle w:val="Heading1"/>
      </w:pPr>
      <w:r>
        <w:t>Para recordar</w:t>
      </w:r>
    </w:p>
    <w:p>
      <w:pPr>
        <w:spacing w:after="60" w:line="288" w:lineRule="auto"/>
        <w:ind w:left="432" w:hanging="216"/>
        <w:shd w:fill="EAF6F3"/>
        <w:keepNext/>
        <w:keepLines/>
        <w:pBdr>
          <w:left w:val="single" w:sz="8" w:space="8" w:color="2A8C82"/>
        </w:pBdr>
      </w:pPr>
      <w:r>
        <w:t>1. Prescribir es sólo el inicio; el tratamiento incluye medición y seguimiento.</w:t>
      </w:r>
    </w:p>
    <w:p>
      <w:pPr>
        <w:spacing w:after="60" w:line="288" w:lineRule="auto"/>
        <w:ind w:left="432" w:hanging="216"/>
        <w:shd w:fill="EAF6F3"/>
        <w:keepNext/>
        <w:keepLines/>
        <w:pBdr>
          <w:left w:val="single" w:sz="8" w:space="8" w:color="2A8C82"/>
        </w:pBdr>
      </w:pPr>
      <w:r>
        <w:t>2. La mejor elección combina evidencia, seguridad, historia y preferencias.</w:t>
      </w:r>
    </w:p>
    <w:p>
      <w:pPr>
        <w:spacing w:after="60" w:line="288" w:lineRule="auto"/>
        <w:ind w:left="432" w:hanging="216"/>
        <w:shd w:fill="EAF6F3"/>
        <w:keepNext/>
        <w:keepLines/>
        <w:pBdr>
          <w:left w:val="single" w:sz="8" w:space="8" w:color="2A8C82"/>
        </w:pBdr>
      </w:pPr>
      <w:r>
        <w:t>3. La ausencia de mejoría temprana obliga a revisar, no a esperar por inercia.</w:t>
      </w:r>
    </w:p>
    <w:p>
      <w:pPr>
        <w:spacing w:after="60" w:line="288" w:lineRule="auto"/>
        <w:ind w:left="432" w:hanging="216"/>
        <w:shd w:fill="EAF6F3"/>
        <w:keepNext/>
        <w:keepLines/>
        <w:pBdr>
          <w:left w:val="single" w:sz="8" w:space="8" w:color="2A8C82"/>
        </w:pBdr>
      </w:pPr>
      <w:r>
        <w:t>4. Remisión sintomática y recuperación funcional deben evaluarse por separado.</w:t>
      </w:r>
    </w:p>
    <w:p>
      <w:pPr>
        <w:spacing w:after="60" w:line="288" w:lineRule="auto"/>
        <w:ind w:left="432" w:hanging="216"/>
        <w:shd w:fill="EAF6F3"/>
        <w:keepLines/>
        <w:pBdr>
          <w:left w:val="single" w:sz="8" w:space="8" w:color="2A8C82"/>
        </w:pBdr>
      </w:pPr>
      <w:r>
        <w:t>5. La suspensión gradual previene retirada evitable y debe individualizarse.</w:t>
      </w:r>
    </w:p>
    <w:p>
      <w:pPr>
        <w:pStyle w:val="Heading1"/>
      </w:pPr>
      <w:r>
        <w:t>Bibliografía esencial</w:t>
      </w:r>
    </w:p>
    <w:p>
      <w:pPr>
        <w:pStyle w:val="Bibliography"/>
      </w:pPr>
      <w:r>
        <w:t xml:space="preserve">• National Institute for Health and Care Excellence. </w:t>
      </w:r>
      <w:r>
        <w:rPr>
          <w:i/>
        </w:rPr>
        <w:t>Depression in adults: treatment and management</w:t>
      </w:r>
      <w:r>
        <w:t xml:space="preserve">. NICE guideline NG222. 2022; revisada en enero de 2026 sin cambio de recomendaciones. </w:t>
      </w:r>
      <w:hyperlink r:id="rId34">
        <w:r>
          <w:rPr>
            <w:color w:val="246B8E"/>
            <w:u w:val="single"/>
          </w:rPr>
          <w:t>Recomendaciones</w:t>
        </w:r>
      </w:hyperlink>
      <w:r>
        <w:t>.</w:t>
      </w:r>
    </w:p>
    <w:p>
      <w:pPr>
        <w:pStyle w:val="Bibliography"/>
      </w:pPr>
      <w:r>
        <w:t xml:space="preserve">• Department of Veterans Affairs &amp; Department of Defense. </w:t>
      </w:r>
      <w:r>
        <w:rPr>
          <w:i/>
        </w:rPr>
        <w:t>VA/DoD Clinical Practice Guideline for the Management of Major Depressive Disorder</w:t>
      </w:r>
      <w:r>
        <w:t xml:space="preserve">. 2022. </w:t>
      </w:r>
      <w:hyperlink r:id="rId32">
        <w:r>
          <w:rPr>
            <w:color w:val="246B8E"/>
            <w:u w:val="single"/>
          </w:rPr>
          <w:t>Guía completa y herramientas</w:t>
        </w:r>
      </w:hyperlink>
      <w:r>
        <w:t>.</w:t>
      </w:r>
    </w:p>
    <w:p>
      <w:pPr>
        <w:pStyle w:val="Bibliography"/>
      </w:pPr>
      <w:r>
        <w:t xml:space="preserve">• Ministerio de Salud de Chile. </w:t>
      </w:r>
      <w:r>
        <w:rPr>
          <w:i/>
        </w:rPr>
        <w:t>Problema de Salud N.º 34: Depresión en personas de 15 años y más</w:t>
      </w:r>
      <w:r>
        <w:t xml:space="preserve">. AUGE/GES. </w:t>
      </w:r>
      <w:hyperlink r:id="rId29">
        <w:r>
          <w:rPr>
            <w:color w:val="246B8E"/>
            <w:u w:val="single"/>
          </w:rPr>
          <w:t>Ficha oficial</w:t>
        </w:r>
      </w:hyperlink>
      <w:r>
        <w:t>.</w:t>
      </w:r>
    </w:p>
    <w:p>
      <w:pPr>
        <w:pStyle w:val="Bibliography"/>
      </w:pPr>
      <w:r>
        <w:t xml:space="preserve">• World Health Organization. </w:t>
      </w:r>
      <w:r>
        <w:rPr>
          <w:i/>
        </w:rPr>
        <w:t>mhGAP Intervention Guide for mental, neurological and substance use disorders in non-specialized health settings</w:t>
      </w:r>
      <w:r>
        <w:t xml:space="preserve">, version 2.0. 2016. </w:t>
      </w:r>
      <w:hyperlink r:id="rId35">
        <w:r>
          <w:rPr>
            <w:color w:val="246B8E"/>
            <w:u w:val="single"/>
          </w:rPr>
          <w:t>Documento</w:t>
        </w:r>
      </w:hyperlink>
      <w:r>
        <w:t>.</w:t>
      </w:r>
    </w:p>
    <w:p>
      <w:pPr>
        <w:pStyle w:val="Bibliography"/>
      </w:pPr>
      <w:r>
        <w:t xml:space="preserve">• National Institute for Health and Care Excellence. </w:t>
      </w:r>
      <w:r>
        <w:rPr>
          <w:i/>
        </w:rPr>
        <w:t>Medicines associated with dependence or withdrawal symptoms: safe prescribing and withdrawal management for adults</w:t>
      </w:r>
      <w:r>
        <w:t xml:space="preserve">. NICE guideline NG215. 2022. </w:t>
      </w:r>
      <w:hyperlink r:id="rId36">
        <w:r>
          <w:rPr>
            <w:color w:val="246B8E"/>
            <w:u w:val="single"/>
          </w:rPr>
          <w:t>Guía</w:t>
        </w:r>
      </w:hyperlink>
      <w:r>
        <w:t>.</w:t>
      </w:r>
    </w:p>
    <w:p>
      <w:pPr>
        <w:pStyle w:val="Bibliography"/>
      </w:pPr>
      <w:r>
        <w:t xml:space="preserve">• U.S. National Library of Medicine. </w:t>
      </w:r>
      <w:r>
        <w:rPr>
          <w:i/>
        </w:rPr>
        <w:t>Bupropion hydrochloride extended-release tablets (XL): prescribing information</w:t>
      </w:r>
      <w:r>
        <w:t xml:space="preserve">. DailyMed; ficha vigente consultada en 2026. </w:t>
      </w:r>
      <w:hyperlink r:id="rId37">
        <w:r>
          <w:rPr>
            <w:color w:val="246B8E"/>
            <w:u w:val="single"/>
          </w:rPr>
          <w:t>Información oficial</w:t>
        </w:r>
      </w:hyperlink>
      <w:r>
        <w:t>.</w:t>
      </w:r>
    </w:p>
    <w:p>
      <w:r>
        <w:br w:type="page"/>
      </w:r>
    </w:p>
    <w:p>
      <w:pPr>
        <w:spacing w:after="480"/>
      </w:pPr>
      <w:r>
        <w:rPr>
          <w:rFonts w:ascii="Calibri" w:hAnsi="Calibri"/>
          <w:b/>
          <w:color w:val="2A8C82"/>
          <w:sz w:val="20"/>
        </w:rPr>
        <w:t>CAPÍTULO 13 · MATERIAL PARA ESTUDIANTES</w:t>
      </w:r>
    </w:p>
    <w:tbl>
      <w:tblPr>
        <w:tblW w:type="auto" w:w="0"/>
        <w:jc w:val="left"/>
        <w:tblLayout w:type="fixed"/>
        <w:tblLook w:firstColumn="1" w:firstRow="1" w:lastColumn="0" w:lastRow="0" w:noHBand="0" w:noVBand="1" w:val="04A0"/>
      </w:tblPr>
      <w:tblGrid>
        <w:gridCol w:w="9648"/>
      </w:tblGrid>
      <w:tr>
        <w:trPr>
          <w:tblHeader w:val="true"/>
        </w:trPr>
        <w:tc>
          <w:tcPr>
            <w:tcW w:type="dxa" w:w="9072"/>
            <w:shd w:fill="173A5E"/>
            <w:tcMar>
              <w:top w:w="120" w:type="dxa"/>
              <w:start w:w="220" w:type="dxa"/>
              <w:bottom w:w="120" w:type="dxa"/>
              <w:end w:w="220" w:type="dxa"/>
            </w:tcMar>
          </w:tcPr>
          <w:p>
            <w:pPr>
              <w:spacing w:after="0"/>
            </w:pPr>
            <w:r>
              <w:rPr>
                <w:rFonts w:ascii="Calibri" w:hAnsi="Calibri"/>
                <w:b/>
                <w:color w:val="FFFFFF"/>
                <w:sz w:val="19"/>
              </w:rPr>
              <w:t>MÓDULO II · PATOLOGÍAS, GES Y TRATAMIENTOS</w:t>
            </w:r>
          </w:p>
        </w:tc>
      </w:tr>
    </w:tbl>
    <w:p>
      <w:pPr>
        <w:pStyle w:val="Title"/>
        <w:spacing w:before="520" w:after="360"/>
        <w:outlineLvl w:val="0"/>
      </w:pPr>
      <w:bookmarkStart w:id="1013" w:name="chapter_13"/>
      <w:r>
        <w:t>Depresión grave, psicótica y resistente</w:t>
      </w:r>
      <w:bookmarkEnd w:id="1013"/>
    </w:p>
    <w:p>
      <w:pPr>
        <w:spacing w:after="80"/>
      </w:pPr>
      <w:r>
        <w:rPr>
          <w:rFonts w:ascii="Calibri" w:hAnsi="Calibri"/>
          <w:b/>
          <w:color w:val="246B8E"/>
          <w:sz w:val="26"/>
        </w:rPr>
        <w:t>Programa de Psiquiatría para internos de Medicina</w:t>
      </w:r>
    </w:p>
    <w:p>
      <w:r>
        <w:rPr>
          <w:rFonts w:ascii="Calibri" w:hAnsi="Calibri"/>
          <w:color w:val="6B7280"/>
          <w:sz w:val="22"/>
        </w:rPr>
        <w:t>Lectura complementaria · Chile · Versión final para revisión humana · 2026</w:t>
      </w:r>
    </w:p>
    <w:p/>
    <w:p/>
    <w:p/>
    <w:p/>
    <w:p/>
    <w:tbl>
      <w:tblPr>
        <w:tblW w:type="auto" w:w="0"/>
        <w:jc w:val="left"/>
        <w:tblLayout w:type="fixed"/>
        <w:tblLook w:firstColumn="1" w:firstRow="1" w:lastColumn="0" w:lastRow="0" w:noHBand="0" w:noVBand="1" w:val="04A0"/>
      </w:tblPr>
      <w:tblGrid>
        <w:gridCol w:w="9648"/>
      </w:tblGrid>
      <w:tr>
        <w:trPr>
          <w:tblHeader w:val="true"/>
        </w:trPr>
        <w:tc>
          <w:tcPr>
            <w:tcW w:type="dxa" w:w="9648"/>
            <w:shd w:fill="F3F5F6"/>
            <w:tcBorders>
              <w:start w:val="single" w:sz="18" w:color="2A8C82"/>
            </w:tcBorders>
            <w:tcMar>
              <w:top w:w="160" w:type="dxa"/>
              <w:start w:w="220" w:type="dxa"/>
              <w:bottom w:w="160" w:type="dxa"/>
              <w:end w:w="220" w:type="dxa"/>
            </w:tcMar>
          </w:tcPr>
          <w:p>
            <w:pPr>
              <w:spacing w:after="0"/>
            </w:pPr>
            <w:r>
              <w:rPr>
                <w:rFonts w:ascii="Calibri" w:hAnsi="Calibri"/>
                <w:i/>
                <w:color w:val="6B7280"/>
                <w:sz w:val="18"/>
              </w:rPr>
              <w:t>Versión docente final para revisión humana. Material propuesto y contextualizado a Chile; no corresponde a un programa oficial de la Pontificia Universidad Católica de Chile ni sustituye protocolos locales, supervisión clínica o evaluación especializada. Fuentes revisadas al 15 de agosto de 2026.</w:t>
            </w:r>
          </w:p>
        </w:tc>
      </w:tr>
    </w:tbl>
    <w:p>
      <w:r>
        <w:br w:type="page"/>
      </w:r>
    </w:p>
    <w:tbl>
      <w:tblPr>
        <w:tblW w:type="auto" w:w="0"/>
        <w:jc w:val="center"/>
        <w:tblLayout w:type="autofit"/>
        <w:tblLook w:firstColumn="1" w:firstRow="1" w:lastColumn="0" w:lastRow="0" w:noHBand="0" w:noVBand="1" w:val="04A0"/>
      </w:tblPr>
      <w:tblGrid>
        <w:gridCol w:w="9648"/>
      </w:tblGrid>
      <w:tr>
        <w:trPr>
          <w:tblHeader w:val="true"/>
        </w:trPr>
        <w:tc>
          <w:tcPr>
            <w:tcW w:type="dxa" w:w="9648"/>
            <w:vAlign w:val="center"/>
            <w:shd w:fill="EAF3F7"/>
            <w:tcBorders>
              <w:start w:val="single" w:sz="14" w:color="2A8C82"/>
            </w:tcBorders>
            <w:tcMar>
              <w:top w:w="130" w:type="dxa"/>
              <w:start w:w="190" w:type="dxa"/>
              <w:bottom w:w="130" w:type="dxa"/>
              <w:end w:w="190" w:type="dxa"/>
            </w:tcMar>
          </w:tcPr>
          <w:p>
            <w:pPr>
              <w:spacing w:after="0"/>
            </w:pPr>
            <w:r>
              <w:rPr>
                <w:b/>
                <w:color w:val="173A5E"/>
              </w:rPr>
              <w:t xml:space="preserve">PREGUNTA CLÍNICA  </w:t>
            </w:r>
            <w:r>
              <w:t>¿Cuándo la depresión requiere una respuesta urgente o especializada, y cuándo puede llamarse realmente resistente al tratamiento?</w:t>
            </w:r>
          </w:p>
        </w:tc>
      </w:tr>
    </w:tbl>
    <w:p>
      <w:pPr>
        <w:spacing w:after="0"/>
      </w:pPr>
    </w:p>
    <w:tbl>
      <w:tblPr>
        <w:tblW w:type="auto" w:w="0"/>
        <w:jc w:val="center"/>
        <w:tblLayout w:type="autofit"/>
        <w:tblLook w:firstColumn="1" w:firstRow="1" w:lastColumn="0" w:lastRow="0" w:noHBand="0" w:noVBand="1" w:val="04A0"/>
      </w:tblPr>
      <w:tblGrid>
        <w:gridCol w:w="9648"/>
      </w:tblGrid>
      <w:tr>
        <w:trPr>
          <w:tblHeader w:val="true"/>
        </w:trPr>
        <w:tc>
          <w:tcPr>
            <w:tcW w:type="dxa" w:w="9648"/>
            <w:vAlign w:val="center"/>
            <w:shd w:fill="EAF6F3"/>
            <w:tcBorders>
              <w:start w:val="single" w:sz="14" w:color="2A8C82"/>
            </w:tcBorders>
            <w:tcMar>
              <w:top w:w="130" w:type="dxa"/>
              <w:start w:w="190" w:type="dxa"/>
              <w:bottom w:w="130" w:type="dxa"/>
              <w:end w:w="190" w:type="dxa"/>
            </w:tcMar>
          </w:tcPr>
          <w:p>
            <w:pPr>
              <w:spacing w:after="0"/>
            </w:pPr>
            <w:r>
              <w:rPr>
                <w:b/>
                <w:color w:val="173A5E"/>
              </w:rPr>
              <w:t xml:space="preserve">IDEA CENTRAL  </w:t>
            </w:r>
            <w:r>
              <w:t>la depresión grave exige rapidez proporcional al peligro; la aparente resistencia exige lo contrario: detenerse, verificar diagnóstico y tratamientos previos, y no convertir una historia mal documentada en polifarmacia.</w:t>
            </w:r>
          </w:p>
        </w:tc>
      </w:tr>
    </w:tbl>
    <w:p>
      <w:pPr>
        <w:spacing w:after="0"/>
      </w:pPr>
    </w:p>
    <w:p>
      <w:pPr>
        <w:pStyle w:val="Heading1"/>
      </w:pPr>
      <w:r>
        <w:t>Por qué importa</w:t>
      </w:r>
    </w:p>
    <w:p>
      <w:r>
        <w:t>Dos pacientes pueden recibir la misma etiqueta y necesitar conductas radicalmente distintas. Una persona con culpa delirante, inanición y acceso a un medio letal no puede recorrer lentamente una secuencia ambulatoria convencional. Otra, derivada como “resistente” después de tratamientos breves o irregulares, no necesita necesariamente una intervención de cuarta línea: primero necesita una buena reconstrucción.</w:t>
      </w:r>
    </w:p>
    <w:p>
      <w:r>
        <w:t>El error clínico adopta así dos formas. Una es tratar con lentitud una emergencia. La otra es escalar con rapidez un diagnóstico no comprobado. Este capítulo ofrece criterios para evitar ambas.</w:t>
      </w:r>
    </w:p>
    <w:p>
      <w:pPr>
        <w:pStyle w:val="Heading1"/>
      </w:pPr>
      <w:r>
        <w:t>Objetivos de aprendizaje</w:t>
      </w:r>
    </w:p>
    <w:p>
      <w:pPr>
        <w:keepNext/>
      </w:pPr>
      <w:r>
        <w:t>Al terminar este capítulo, el estudiante podrá:</w:t>
      </w:r>
    </w:p>
    <w:p>
      <w:pPr>
        <w:spacing w:after="60" w:line="288" w:lineRule="auto"/>
        <w:ind w:left="432" w:hanging="216"/>
      </w:pPr>
      <w:r>
        <w:t>1. Reconocer depresión grave, psicótica y catatónica y sus indicaciones de atención urgente.</w:t>
      </w:r>
    </w:p>
    <w:p>
      <w:pPr>
        <w:spacing w:after="60" w:line="288" w:lineRule="auto"/>
        <w:ind w:left="432" w:hanging="216"/>
      </w:pPr>
      <w:r>
        <w:t>2. Explicar el tratamiento especializado de la depresión psicótica.</w:t>
      </w:r>
    </w:p>
    <w:p>
      <w:pPr>
        <w:spacing w:after="60" w:line="288" w:lineRule="auto"/>
        <w:ind w:left="432" w:hanging="216"/>
      </w:pPr>
      <w:r>
        <w:t>3. Identificar cuándo la terapia electroconvulsiva debe discutirse tempranamente.</w:t>
      </w:r>
    </w:p>
    <w:p>
      <w:pPr>
        <w:spacing w:after="60" w:line="288" w:lineRule="auto"/>
        <w:ind w:left="432" w:hanging="216"/>
      </w:pPr>
      <w:r>
        <w:t>4. Diferenciar resistencia verdadera, respuesta parcial, intolerancia y pseudorresistencia.</w:t>
      </w:r>
    </w:p>
    <w:p>
      <w:pPr>
        <w:spacing w:after="60" w:line="288" w:lineRule="auto"/>
        <w:ind w:left="432" w:hanging="216"/>
      </w:pPr>
      <w:r>
        <w:t>5. Describir las principales estrategias posteriores a un ensayo insuficiente.</w:t>
      </w:r>
    </w:p>
    <w:p>
      <w:pPr>
        <w:spacing w:after="60" w:line="288" w:lineRule="auto"/>
        <w:ind w:left="432" w:hanging="216"/>
      </w:pPr>
      <w:r>
        <w:t>6. Situar ketamina, esketamina y estimulación magnética sin presentarlas como soluciones universales.</w:t>
      </w:r>
    </w:p>
    <w:p>
      <w:pPr>
        <w:pStyle w:val="Heading1"/>
      </w:pPr>
      <w:r>
        <w:t>Caso clínico</w:t>
      </w:r>
    </w:p>
    <w:p>
      <w:pPr>
        <w:shd w:fill="EAF3F7"/>
        <w:keepNext/>
        <w:keepLines/>
        <w:pBdr>
          <w:left w:val="single" w:sz="8" w:space="8" w:color="246B8E"/>
        </w:pBdr>
        <w:ind w:left="173" w:right="86"/>
      </w:pPr>
      <w:r>
        <w:t>Pedro, de 62 años, ha perdido doce kilos en dos meses. Permanece inmóvil durante gran parte del día y afirma que arruinó a su familia, pese a que sus cuentas muestran lo contrario. Dejó de beber agua porque cree que “no merece consumir recursos” y ocultó un pesticida en una bodega. Fue derivado como “depresión resistente”: recibió sertralina 50 mg de modo irregular durante tres semanas. Su esposa relata además episodios breves de confusión nocturna.</w:t>
      </w:r>
    </w:p>
    <w:p>
      <w:pPr>
        <w:shd w:fill="EAF3F7"/>
        <w:keepLines/>
        <w:pBdr>
          <w:left w:val="single" w:sz="8" w:space="8" w:color="246B8E"/>
        </w:pBdr>
        <w:ind w:left="173" w:right="86"/>
      </w:pPr>
      <w:r>
        <w:t>Pedro presenta una emergencia por psicosis, restricción hídrica, deterioro físico y preparación suicida. No tiene resistencia demostrada. Primero necesita estabilización, evaluación médica y tratamiento especializado rápido; la etiqueta administrativa puede esperar.</w:t>
      </w:r>
    </w:p>
    <w:p>
      <w:pPr>
        <w:pStyle w:val="Heading1"/>
      </w:pPr>
      <w:r>
        <w:t>Reconocer gravedad y decidir el nivel de atención</w:t>
      </w:r>
    </w:p>
    <w:p>
      <w:pPr>
        <w:keepNext/>
      </w:pPr>
      <w:r>
        <w:t>La gravedad no se reduce al número de síntomas. Se integra intensidad, persistencia, deterioro, pérdida de autonomía, compromiso médico, psicosis, catatonía, agitación y suicidalidad. Son señales de escalamiento inmediato:</w:t>
      </w:r>
    </w:p>
    <w:p>
      <w:pPr>
        <w:pStyle w:val="ListBullet"/>
      </w:pPr>
      <w:r>
        <w:t>intención o preparativos suicidas, acceso a medios y desesperanza extrema;</w:t>
      </w:r>
    </w:p>
    <w:p>
      <w:pPr>
        <w:pStyle w:val="ListBullet"/>
      </w:pPr>
      <w:r>
        <w:t>delirios o alucinaciones vinculados con culpa, ruina, nihilismo, persecución o mandato;</w:t>
      </w:r>
    </w:p>
    <w:p>
      <w:pPr>
        <w:pStyle w:val="ListBullet"/>
      </w:pPr>
      <w:r>
        <w:t>rechazo de líquidos o alimentos, deshidratación, pérdida ponderal o abandono de tratamientos esenciales;</w:t>
      </w:r>
    </w:p>
    <w:p>
      <w:pPr>
        <w:pStyle w:val="ListBullet"/>
      </w:pPr>
      <w:r>
        <w:t>estupor, mutismo, negativismo, inmovilidad o excitación sugerentes de catatonía;</w:t>
      </w:r>
    </w:p>
    <w:p>
      <w:pPr>
        <w:pStyle w:val="ListBullet"/>
      </w:pPr>
      <w:r>
        <w:t>agitación grave, insomnio extremo o incapacidad de autocuidado;</w:t>
      </w:r>
    </w:p>
    <w:p>
      <w:pPr>
        <w:pStyle w:val="ListBullet"/>
      </w:pPr>
      <w:r>
        <w:t>inicio atípico con alteración de conciencia, signos neurológicos o sospecha de enfermedad médica.</w:t>
      </w:r>
    </w:p>
    <w:p>
      <w:r>
        <w:t>La evaluación médica no debe retrasarse por asumir etiología psiquiátrica. En Pedro, la confusión nocturna obliga a considerar delirium superpuesto, alteraciones metabólicas, efectos farmacológicos y enfermedad neurológica. Si el riesgo o el compromiso físico no puede manejarse en el entorno, corresponde derivación urgente y posible hospitalización, con traspaso efectivo de responsabilidad.</w:t>
      </w:r>
    </w:p>
    <w:p>
      <w:pPr>
        <w:pStyle w:val="Heading1"/>
      </w:pPr>
      <w:r>
        <w:t>Depresión con síntomas psicóticos</w:t>
      </w:r>
    </w:p>
    <w:p>
      <w:r>
        <w:t>Los síntomas psicóticos aparecen durante el episodio depresivo y pueden ser congruentes o no con el ánimo. Es fundamental preguntar si hubo psicosis fuera de los episodios afectivos, manía o hipomanía. El diferencial incluye trastorno bipolar, esquizoafectivo, delirium, trastorno neurocognitivo, sustancias, medicamentos y enfermedad médica.</w:t>
      </w:r>
    </w:p>
    <w:p>
      <w:r>
        <w:t>La depresión psicótica debe ser tratada en atención especializada. Una estrategia recomendada es combinar un antidepresivo con un antipsicótico; la terapia electroconvulsiva (TEC) es una alternativa especialmente relevante cuando se necesita respuesta rápida, existe compromiso vital, catatonía, alto riesgo suicida o respuesta previa favorable. Si la persona con capacidad no acepta el antipsicótico, puede tratarse con antidepresivo bajo manejo especializado y vigilancia, pero no debe fingirse que esa opción ofrece necesariamente el mismo beneficio.</w:t>
      </w:r>
    </w:p>
    <w:p>
      <w:r>
        <w:t>El antipsicótico aislado no trata adecuadamente el componente depresivo en la mayoría de los casos. Durante la combinación se monitorizan metabolismo, síntomas extrapiramidales, sedación, QT e interacciones. Después de la remisión puede considerarse mantener el antipsicótico durante algunos meses si es tolerado; el momento de retirarlo se individualiza en conjunto con especialidad. Suspenderlo automáticamente al desaparecer el delirio aumenta el riesgo de recaída, mientras que mantenerlo sin revisión expone a daño acumulativo.</w:t>
      </w:r>
    </w:p>
    <w:p>
      <w:pPr>
        <w:pStyle w:val="Heading1"/>
      </w:pPr>
      <w:r>
        <w:t>Catatonía y terapia electroconvulsiva</w:t>
      </w:r>
    </w:p>
    <w:p>
      <w:r>
        <w:t>La catatonía es un síndrome psicomotor que puede acompañar depresión, bipolaridad, psicosis o enfermedad médica. Debe pesquisarse activamente y tratarse con urgencia. La evaluación y el desafío con benzodiazepinas, así como la indicación de TEC, requieren un equipo competente; el tratamiento específico se desarrolla en el capítulo 47.</w:t>
      </w:r>
    </w:p>
    <w:p>
      <w:r>
        <w:t>En depresión grave, la TEC debe considerarse cuando la persona la prefiere por experiencia previa, cuando se necesita una respuesta rápida —por ejemplo, por inanición o amenaza vital— o cuando otros tratamientos han fracasado. También tiene un lugar central en depresión psicótica y catatonía. No es correcto reservarla como castigo terapéutico después de una lista arbitraria de fármacos.</w:t>
      </w:r>
    </w:p>
    <w:p>
      <w:r>
        <w:t>La TEC se realiza bajo anestesia, con relajación muscular y monitorización. Antes de indicarla se ponderan riesgos anestésicos, comorbilidad, posibles efectos cognitivos y el riesgo de no tratar. Se evalúan capacidad y consentimiento conforme a la Norma Técnica MINSAL de 2025 y a la legislación chilena vigente; la urgencia no autoriza a improvisar una excepción ni elimina la obligación de documentar. Durante el curso se monitorizan respuesta y cognición. Al alcanzar remisión se necesita una estrategia de continuación farmacológica, psicológica o, en casos seleccionados, de TEC de continuación: el efecto agudo no protege indefinidamente.</w:t>
      </w:r>
    </w:p>
    <w:p>
      <w:pPr>
        <w:pStyle w:val="Heading1"/>
      </w:pPr>
      <w:r>
        <w:t>Qué significa resistencia al tratamiento</w:t>
      </w:r>
    </w:p>
    <w:p>
      <w:r>
        <w:t>No existe una definición única y perfecta. Un uso operativo frecuente considera depresión resistente cuando no se logra una respuesta suficiente después de al menos dos tratamientos adecuados en el episodio actual. “Adecuado” implica diagnóstico correcto, dosis terapéutica, duración suficiente, adherencia verificable y medición del resultado. Algunos modelos exigen tratamientos de distintas clases; otros cuentan psicoterapia u otras modalidades. Por ello, el término debe acompañarse de una historia explícita, no funcionar como esencia biológica.</w:t>
      </w:r>
    </w:p>
    <w:p>
      <w:pPr>
        <w:keepNext/>
      </w:pPr>
      <w:r>
        <w:t xml:space="preserve">Antes de declarar resistencia se buscan causas de </w:t>
      </w:r>
      <w:r>
        <w:rPr>
          <w:b/>
        </w:rPr>
        <w:t>pseudorresistencia</w:t>
      </w:r>
      <w:r>
        <w:t>:</w:t>
      </w:r>
    </w:p>
    <w:p>
      <w:pPr>
        <w:pStyle w:val="ListBullet"/>
      </w:pPr>
      <w:r>
        <w:t>bipolaridad, psicosis, catatonía o diagnóstico primario diferente;</w:t>
      </w:r>
    </w:p>
    <w:p>
      <w:pPr>
        <w:pStyle w:val="ListBullet"/>
      </w:pPr>
      <w:r>
        <w:t>dosis insuficiente, duración breve o adherencia irregular;</w:t>
      </w:r>
    </w:p>
    <w:p>
      <w:pPr>
        <w:pStyle w:val="ListBullet"/>
      </w:pPr>
      <w:r>
        <w:t>efectos adversos que redujeron la exposición real;</w:t>
      </w:r>
    </w:p>
    <w:p>
      <w:pPr>
        <w:pStyle w:val="ListBullet"/>
      </w:pPr>
      <w:r>
        <w:t>consumo de alcohol u otras sustancias;</w:t>
      </w:r>
    </w:p>
    <w:p>
      <w:pPr>
        <w:pStyle w:val="ListBullet"/>
      </w:pPr>
      <w:r>
        <w:t>interacciones o absorción alterada;</w:t>
      </w:r>
    </w:p>
    <w:p>
      <w:pPr>
        <w:pStyle w:val="ListBullet"/>
      </w:pPr>
      <w:r>
        <w:t>hipotiroidismo, anemia, dolor, apnea del sueño u otra comorbilidad;</w:t>
      </w:r>
    </w:p>
    <w:p>
      <w:pPr>
        <w:pStyle w:val="ListBullet"/>
      </w:pPr>
      <w:r>
        <w:t>trauma, TOC, trastorno de personalidad o ansiedad no tratados;</w:t>
      </w:r>
    </w:p>
    <w:p>
      <w:pPr>
        <w:pStyle w:val="ListBullet"/>
      </w:pPr>
      <w:r>
        <w:t>violencia, precariedad, aislamiento o estresores que mantienen el cuadro.</w:t>
      </w:r>
    </w:p>
    <w:p>
      <w:r>
        <w:t>La reconstrucción utiliza recetas, fichas, niveles plasmáticos cuando son pertinentes y heteroanamnesis. “Probó todos los remedios” suele significar que se recuerdan nombres, no que se comprobaron ensayos. También debe distinguirse falta de remisión de ausencia total de respuesta: una mejoría parcial sostenida puede orientar a optimizar o potenciar, mientras que un empeoramiento obliga a revisar el diagnóstico.</w:t>
      </w:r>
    </w:p>
    <w:p>
      <w:pPr>
        <w:pStyle w:val="Heading1"/>
      </w:pPr>
      <w:r>
        <w:t>Estrategias después de verificar</w:t>
      </w:r>
    </w:p>
    <w:p>
      <w:r>
        <w:t>Si la exposición fue insuficiente y el fármaco es tolerado, puede optimizarse dosis y duración dentro de límites seguros. Ante intolerancia o ausencia de respuesta puede cambiarse a otro antidepresivo, dentro de la misma familia o con mecanismo diferente. La decisión considera síntomas residuales, riesgo, efectos, preferencia e interacciones; no existe una secuencia universal.</w:t>
      </w:r>
    </w:p>
    <w:p>
      <w:r>
        <w:t>La psicoterapia estructurada puede añadirse o cambiarse, especialmente si persisten evitación, rumiación, conflictos o problemas de adherencia. La potenciación con litio o antipsicóticos de segunda generación seleccionados tiene evidencia, pero exige supervisión. Litio requiere evaluación renal y tiroidea, calcio, niveles plasmáticos, educación sobre hidratación y revisión de interacciones. Antipsicóticos requieren monitorización metabólica, neurológica y cardiovascular. Triyodotironina y combinaciones antidepresivas se reservan para casos seleccionados.</w:t>
      </w:r>
    </w:p>
    <w:p>
      <w:r>
        <w:t>Cada intervención avanzada debe tener síntoma diana, plazo de evaluación y criterio de suspensión. Sumar tres medicamentos sin retirar ninguno no es sofisticación; es pérdida de trazabilidad.</w:t>
      </w:r>
    </w:p>
    <w:p>
      <w:pPr>
        <w:pStyle w:val="Heading1"/>
      </w:pPr>
      <w:r>
        <w:t>Ketamina, esketamina y neuromodulación</w:t>
      </w:r>
    </w:p>
    <w:p>
      <w:r>
        <w:t>Ketamina intravenosa puede producir reducción rápida de síntomas en depresión resistente seleccionada, pero persisten incertidumbres sobre protocolos, seguridad y mantención a largo plazo. Esketamina intranasal cuenta con autorizaciones regulatorias en algunos países y se administra dentro de programas con observación por sedación, disociación y cambios hemodinámicos. La disponibilidad, indicaciones y cobertura deben verificarse en cada sistema; no debe presentarse como tratamiento domiciliario ni como cura definitiva.</w:t>
      </w:r>
    </w:p>
    <w:p>
      <w:r>
        <w:t>La estimulación magnética transcraneal repetitiva es una opción no invasiva para ciertos cuadros resistentes, principalmente no psicóticos. Requiere un curso de sesiones y disponibilidad especializada. Ketamina, esketamina y estimulación magnética no sustituyen automáticamente a la TEC cuando existe catatonía, psicosis, inanición o amenaza vital.</w:t>
      </w:r>
    </w:p>
    <w:p>
      <w:r>
        <w:t xml:space="preserve">En Chile, GES 34 comprende depresión en personas de </w:t>
      </w:r>
      <w:r>
        <w:rPr>
          <w:b/>
        </w:rPr>
        <w:t>15 años y más</w:t>
      </w:r>
      <w:r>
        <w:t xml:space="preserve">. Con diagnóstico confirmado existe acceso a tratamiento, que debe iniciarse </w:t>
      </w:r>
      <w:r>
        <w:rPr>
          <w:b/>
        </w:rPr>
        <w:t>desde la confirmación diagnóstica</w:t>
      </w:r>
      <w:r>
        <w:t xml:space="preserve">; si se deriva a especialista, la consulta debe realizarse dentro de </w:t>
      </w:r>
      <w:r>
        <w:rPr>
          <w:b/>
        </w:rPr>
        <w:t>30 días desde la derivación</w:t>
      </w:r>
      <w:r>
        <w:t>. La canasta contempla prestaciones para depresión con psicosis, alto riesgo suicida o refractariedad, pero no convierte esos 30 días en tiempo clínicamente aceptable para esperar frente a inanición, psicosis, catatonía o peligro suicida. La indicación concreta depende de la evaluación y de la red; ninguna garantía administrativa modifica la obligación de estabilizar una emergencia.</w:t>
      </w:r>
    </w:p>
    <w:p>
      <w:pPr>
        <w:pStyle w:val="Heading1"/>
      </w:pPr>
      <w:r>
        <w:t>Errores frecuentes</w:t>
      </w:r>
    </w:p>
    <w:p>
      <w:pPr>
        <w:pStyle w:val="ListBullet"/>
      </w:pPr>
      <w:r>
        <w:t>Llamar resistente a un tratamiento breve, irregular o subterapéutico.</w:t>
      </w:r>
    </w:p>
    <w:p>
      <w:pPr>
        <w:pStyle w:val="ListBullet"/>
      </w:pPr>
      <w:r>
        <w:t>Mantener manejo ambulatorio por inercia ante inanición, psicosis o preparativos suicidas.</w:t>
      </w:r>
    </w:p>
    <w:p>
      <w:pPr>
        <w:pStyle w:val="ListBullet"/>
      </w:pPr>
      <w:r>
        <w:t>Tratar depresión psicótica sólo con antipsicótico.</w:t>
      </w:r>
    </w:p>
    <w:p>
      <w:pPr>
        <w:pStyle w:val="ListBullet"/>
      </w:pPr>
      <w:r>
        <w:t>Reservar obligatoriamente la TEC para el último lugar.</w:t>
      </w:r>
    </w:p>
    <w:p>
      <w:pPr>
        <w:pStyle w:val="ListBullet"/>
      </w:pPr>
      <w:r>
        <w:t>Potenciar sin verificar bipolaridad, sustancias, adherencia y comorbilidad médica.</w:t>
      </w:r>
    </w:p>
    <w:p>
      <w:pPr>
        <w:pStyle w:val="ListBullet"/>
      </w:pPr>
      <w:r>
        <w:t>Presentar ketamina como solución definitiva o equivalente universal de la TEC.</w:t>
      </w:r>
    </w:p>
    <w:p>
      <w:pPr>
        <w:pStyle w:val="ListBullet"/>
      </w:pPr>
      <w:r>
        <w:t>Confundir mejoría rápida con prevención de recaída.</w:t>
      </w:r>
    </w:p>
    <w:p>
      <w:pPr>
        <w:pStyle w:val="Heading1"/>
      </w:pPr>
      <w:r>
        <w:t>Para recordar</w:t>
      </w:r>
    </w:p>
    <w:p>
      <w:pPr>
        <w:spacing w:after="60" w:line="288" w:lineRule="auto"/>
        <w:ind w:left="432" w:hanging="216"/>
        <w:shd w:fill="EAF6F3"/>
        <w:keepNext/>
        <w:keepLines/>
        <w:pBdr>
          <w:left w:val="single" w:sz="8" w:space="8" w:color="2A8C82"/>
        </w:pBdr>
      </w:pPr>
      <w:r>
        <w:t>1. La gravedad se define por peligro, función y compromiso físico, no sólo por síntomas.</w:t>
      </w:r>
    </w:p>
    <w:p>
      <w:pPr>
        <w:spacing w:after="60" w:line="288" w:lineRule="auto"/>
        <w:ind w:left="432" w:hanging="216"/>
        <w:shd w:fill="EAF6F3"/>
        <w:keepNext/>
        <w:keepLines/>
        <w:pBdr>
          <w:left w:val="single" w:sz="8" w:space="8" w:color="2A8C82"/>
        </w:pBdr>
      </w:pPr>
      <w:r>
        <w:t>2. Psicosis y catatonía cambian el tratamiento y el nivel de atención.</w:t>
      </w:r>
    </w:p>
    <w:p>
      <w:pPr>
        <w:spacing w:after="60" w:line="288" w:lineRule="auto"/>
        <w:ind w:left="432" w:hanging="216"/>
        <w:shd w:fill="EAF6F3"/>
        <w:keepNext/>
        <w:keepLines/>
        <w:pBdr>
          <w:left w:val="single" w:sz="8" w:space="8" w:color="2A8C82"/>
        </w:pBdr>
      </w:pPr>
      <w:r>
        <w:t>3. La TEC puede ser la opción más oportuna, no el último fracaso.</w:t>
      </w:r>
    </w:p>
    <w:p>
      <w:pPr>
        <w:spacing w:after="60" w:line="288" w:lineRule="auto"/>
        <w:ind w:left="432" w:hanging="216"/>
        <w:shd w:fill="EAF6F3"/>
        <w:keepNext/>
        <w:keepLines/>
        <w:pBdr>
          <w:left w:val="single" w:sz="8" w:space="8" w:color="2A8C82"/>
        </w:pBdr>
      </w:pPr>
      <w:r>
        <w:t>4. La resistencia se demuestra con tratamientos adecuados documentados.</w:t>
      </w:r>
    </w:p>
    <w:p>
      <w:pPr>
        <w:spacing w:after="60" w:line="288" w:lineRule="auto"/>
        <w:ind w:left="432" w:hanging="216"/>
        <w:shd w:fill="EAF6F3"/>
        <w:keepLines/>
        <w:pBdr>
          <w:left w:val="single" w:sz="8" w:space="8" w:color="2A8C82"/>
        </w:pBdr>
      </w:pPr>
      <w:r>
        <w:t>5. Toda estrategia avanzada necesita monitorización y prevención de recaídas.</w:t>
      </w:r>
    </w:p>
    <w:p>
      <w:pPr>
        <w:pStyle w:val="Heading1"/>
      </w:pPr>
      <w:r>
        <w:t>Bibliografía esencial</w:t>
      </w:r>
    </w:p>
    <w:p>
      <w:pPr>
        <w:pStyle w:val="Bibliography"/>
      </w:pPr>
      <w:r>
        <w:t xml:space="preserve">• National Institute for Health and Care Excellence. </w:t>
      </w:r>
      <w:r>
        <w:rPr>
          <w:i/>
        </w:rPr>
        <w:t>Depression in adults: treatment and management</w:t>
      </w:r>
      <w:r>
        <w:t xml:space="preserve">. NICE guideline NG222. 2022. </w:t>
      </w:r>
      <w:hyperlink r:id="rId34">
        <w:r>
          <w:rPr>
            <w:color w:val="246B8E"/>
            <w:u w:val="single"/>
          </w:rPr>
          <w:t>Recomendaciones</w:t>
        </w:r>
      </w:hyperlink>
      <w:r>
        <w:t>.</w:t>
      </w:r>
    </w:p>
    <w:p>
      <w:pPr>
        <w:pStyle w:val="Bibliography"/>
      </w:pPr>
      <w:r>
        <w:t xml:space="preserve">• National Institute for Health and Care Excellence. </w:t>
      </w:r>
      <w:r>
        <w:rPr>
          <w:i/>
        </w:rPr>
        <w:t>January 2026 exceptional surveillance of depression in adults: treatment and management</w:t>
      </w:r>
      <w:r>
        <w:t xml:space="preserve">. 2026. </w:t>
      </w:r>
      <w:hyperlink r:id="rId38">
        <w:r>
          <w:rPr>
            <w:color w:val="246B8E"/>
            <w:u w:val="single"/>
          </w:rPr>
          <w:t>Vigilancia excepcional</w:t>
        </w:r>
      </w:hyperlink>
      <w:r>
        <w:t>.</w:t>
      </w:r>
    </w:p>
    <w:p>
      <w:pPr>
        <w:pStyle w:val="Bibliography"/>
      </w:pPr>
      <w:r>
        <w:t xml:space="preserve">• Department of Veterans Affairs &amp; Department of Defense. </w:t>
      </w:r>
      <w:r>
        <w:rPr>
          <w:i/>
        </w:rPr>
        <w:t>VA/DoD Clinical Practice Guideline for the Management of Major Depressive Disorder</w:t>
      </w:r>
      <w:r>
        <w:t xml:space="preserve">. 2022. </w:t>
      </w:r>
      <w:hyperlink r:id="rId32">
        <w:r>
          <w:rPr>
            <w:color w:val="246B8E"/>
            <w:u w:val="single"/>
          </w:rPr>
          <w:t>Guía y materiales</w:t>
        </w:r>
      </w:hyperlink>
      <w:r>
        <w:t>.</w:t>
      </w:r>
    </w:p>
    <w:p>
      <w:pPr>
        <w:pStyle w:val="Bibliography"/>
      </w:pPr>
      <w:r>
        <w:t xml:space="preserve">• Ministerio de Salud de Chile. </w:t>
      </w:r>
      <w:r>
        <w:rPr>
          <w:i/>
        </w:rPr>
        <w:t>Norma Técnica para el Uso de Terapia Electroconvulsiva</w:t>
      </w:r>
      <w:r>
        <w:t xml:space="preserve">. 2025. </w:t>
      </w:r>
      <w:hyperlink r:id="rId39">
        <w:r>
          <w:rPr>
            <w:color w:val="246B8E"/>
            <w:u w:val="single"/>
          </w:rPr>
          <w:t>Documento oficial</w:t>
        </w:r>
      </w:hyperlink>
      <w:r>
        <w:t>.</w:t>
      </w:r>
    </w:p>
    <w:p>
      <w:pPr>
        <w:pStyle w:val="Bibliography"/>
      </w:pPr>
      <w:r>
        <w:t xml:space="preserve">• National Institute for Health and Care Excellence. </w:t>
      </w:r>
      <w:r>
        <w:rPr>
          <w:i/>
        </w:rPr>
        <w:t>Repetitive transcranial magnetic stimulation for depression</w:t>
      </w:r>
      <w:r>
        <w:t xml:space="preserve">. Interventional procedures guidance IPG542. 2015. </w:t>
      </w:r>
      <w:hyperlink r:id="rId40">
        <w:r>
          <w:rPr>
            <w:color w:val="246B8E"/>
            <w:u w:val="single"/>
          </w:rPr>
          <w:t>Guía</w:t>
        </w:r>
      </w:hyperlink>
      <w:r>
        <w:t>.</w:t>
      </w:r>
    </w:p>
    <w:p>
      <w:pPr>
        <w:pStyle w:val="Bibliography"/>
      </w:pPr>
      <w:r>
        <w:t xml:space="preserve">• Ministerio de Salud de Chile. </w:t>
      </w:r>
      <w:r>
        <w:rPr>
          <w:i/>
        </w:rPr>
        <w:t>Problema de Salud N.º 34: Depresión en personas de 15 años y más</w:t>
      </w:r>
      <w:r>
        <w:t xml:space="preserve">. AUGE/GES. </w:t>
      </w:r>
      <w:hyperlink r:id="rId29">
        <w:r>
          <w:rPr>
            <w:color w:val="246B8E"/>
            <w:u w:val="single"/>
          </w:rPr>
          <w:t>Ficha oficial</w:t>
        </w:r>
      </w:hyperlink>
      <w:r>
        <w:t>.</w:t>
      </w:r>
    </w:p>
    <w:p>
      <w:r>
        <w:br w:type="page"/>
      </w:r>
    </w:p>
    <w:p>
      <w:pPr>
        <w:spacing w:after="480"/>
      </w:pPr>
      <w:r>
        <w:rPr>
          <w:rFonts w:ascii="Calibri" w:hAnsi="Calibri"/>
          <w:b/>
          <w:color w:val="2A8C82"/>
          <w:sz w:val="20"/>
        </w:rPr>
        <w:t>CAPÍTULO 14 · MATERIAL PARA ESTUDIANTES</w:t>
      </w:r>
    </w:p>
    <w:tbl>
      <w:tblPr>
        <w:tblW w:type="auto" w:w="0"/>
        <w:jc w:val="left"/>
        <w:tblLayout w:type="fixed"/>
        <w:tblLook w:firstColumn="1" w:firstRow="1" w:lastColumn="0" w:lastRow="0" w:noHBand="0" w:noVBand="1" w:val="04A0"/>
      </w:tblPr>
      <w:tblGrid>
        <w:gridCol w:w="9648"/>
      </w:tblGrid>
      <w:tr>
        <w:trPr>
          <w:tblHeader w:val="true"/>
        </w:trPr>
        <w:tc>
          <w:tcPr>
            <w:tcW w:type="dxa" w:w="9072"/>
            <w:shd w:fill="173A5E"/>
            <w:tcMar>
              <w:top w:w="120" w:type="dxa"/>
              <w:start w:w="220" w:type="dxa"/>
              <w:bottom w:w="120" w:type="dxa"/>
              <w:end w:w="220" w:type="dxa"/>
            </w:tcMar>
          </w:tcPr>
          <w:p>
            <w:pPr>
              <w:spacing w:after="0"/>
            </w:pPr>
            <w:r>
              <w:rPr>
                <w:rFonts w:ascii="Calibri" w:hAnsi="Calibri"/>
                <w:b/>
                <w:color w:val="FFFFFF"/>
                <w:sz w:val="19"/>
              </w:rPr>
              <w:t>MÓDULO II · PATOLOGÍAS, GES Y TRATAMIENTOS</w:t>
            </w:r>
          </w:p>
        </w:tc>
      </w:tr>
    </w:tbl>
    <w:p>
      <w:pPr>
        <w:pStyle w:val="Title"/>
        <w:spacing w:before="520" w:after="360"/>
        <w:outlineLvl w:val="0"/>
      </w:pPr>
      <w:bookmarkStart w:id="1014" w:name="chapter_14"/>
      <w:r>
        <w:t>Conducta suicida y autolesiones: evaluación dinámica y manejo inicial</w:t>
      </w:r>
      <w:bookmarkEnd w:id="1014"/>
    </w:p>
    <w:p>
      <w:pPr>
        <w:spacing w:after="80"/>
      </w:pPr>
      <w:r>
        <w:rPr>
          <w:rFonts w:ascii="Calibri" w:hAnsi="Calibri"/>
          <w:b/>
          <w:color w:val="246B8E"/>
          <w:sz w:val="26"/>
        </w:rPr>
        <w:t>Programa de Psiquiatría para internos de Medicina</w:t>
      </w:r>
    </w:p>
    <w:p>
      <w:r>
        <w:rPr>
          <w:rFonts w:ascii="Calibri" w:hAnsi="Calibri"/>
          <w:color w:val="6B7280"/>
          <w:sz w:val="22"/>
        </w:rPr>
        <w:t>Lectura complementaria · Chile · Versión final para revisión humana · 2026</w:t>
      </w:r>
    </w:p>
    <w:p/>
    <w:p/>
    <w:p/>
    <w:p/>
    <w:p/>
    <w:tbl>
      <w:tblPr>
        <w:tblW w:type="auto" w:w="0"/>
        <w:jc w:val="left"/>
        <w:tblLayout w:type="fixed"/>
        <w:tblLook w:firstColumn="1" w:firstRow="1" w:lastColumn="0" w:lastRow="0" w:noHBand="0" w:noVBand="1" w:val="04A0"/>
      </w:tblPr>
      <w:tblGrid>
        <w:gridCol w:w="9648"/>
      </w:tblGrid>
      <w:tr>
        <w:trPr>
          <w:tblHeader w:val="true"/>
        </w:trPr>
        <w:tc>
          <w:tcPr>
            <w:tcW w:type="dxa" w:w="9648"/>
            <w:shd w:fill="F3F5F6"/>
            <w:tcBorders>
              <w:start w:val="single" w:sz="18" w:color="2A8C82"/>
            </w:tcBorders>
            <w:tcMar>
              <w:top w:w="160" w:type="dxa"/>
              <w:start w:w="220" w:type="dxa"/>
              <w:bottom w:w="160" w:type="dxa"/>
              <w:end w:w="220" w:type="dxa"/>
            </w:tcMar>
          </w:tcPr>
          <w:p>
            <w:pPr>
              <w:spacing w:after="0"/>
            </w:pPr>
            <w:r>
              <w:rPr>
                <w:rFonts w:ascii="Calibri" w:hAnsi="Calibri"/>
                <w:i/>
                <w:color w:val="6B7280"/>
                <w:sz w:val="18"/>
              </w:rPr>
              <w:t>Versión docente final para revisión humana. Material propuesto y contextualizado a Chile; no corresponde a un programa oficial de la Pontificia Universidad Católica de Chile ni sustituye protocolos locales, supervisión clínica o evaluación especializada. Fuentes revisadas al 15 de agosto de 2026.</w:t>
            </w:r>
          </w:p>
        </w:tc>
      </w:tr>
    </w:tbl>
    <w:p>
      <w:r>
        <w:br w:type="page"/>
      </w:r>
    </w:p>
    <w:tbl>
      <w:tblPr>
        <w:tblW w:type="auto" w:w="0"/>
        <w:jc w:val="center"/>
        <w:tblLayout w:type="autofit"/>
        <w:tblLook w:firstColumn="1" w:firstRow="1" w:lastColumn="0" w:lastRow="0" w:noHBand="0" w:noVBand="1" w:val="04A0"/>
      </w:tblPr>
      <w:tblGrid>
        <w:gridCol w:w="9648"/>
      </w:tblGrid>
      <w:tr>
        <w:trPr>
          <w:tblHeader w:val="true"/>
        </w:trPr>
        <w:tc>
          <w:tcPr>
            <w:tcW w:type="dxa" w:w="9648"/>
            <w:vAlign w:val="center"/>
            <w:shd w:fill="EAF3F7"/>
            <w:tcBorders>
              <w:start w:val="single" w:sz="14" w:color="2A8C82"/>
            </w:tcBorders>
            <w:tcMar>
              <w:top w:w="130" w:type="dxa"/>
              <w:start w:w="190" w:type="dxa"/>
              <w:bottom w:w="130" w:type="dxa"/>
              <w:end w:w="190" w:type="dxa"/>
            </w:tcMar>
          </w:tcPr>
          <w:p>
            <w:pPr>
              <w:spacing w:after="0"/>
            </w:pPr>
            <w:r>
              <w:rPr>
                <w:b/>
                <w:color w:val="173A5E"/>
              </w:rPr>
              <w:t xml:space="preserve">PREGUNTA CLÍNICA  </w:t>
            </w:r>
            <w:r>
              <w:t>¿Cómo pasar de preguntar por suicidio a formular un escenario de riesgo y adoptar una conducta que proteja sin sustituir el juicio por un puntaje?</w:t>
            </w:r>
          </w:p>
        </w:tc>
      </w:tr>
    </w:tbl>
    <w:p>
      <w:pPr>
        <w:spacing w:after="0"/>
      </w:pPr>
    </w:p>
    <w:tbl>
      <w:tblPr>
        <w:tblW w:type="auto" w:w="0"/>
        <w:jc w:val="center"/>
        <w:tblLayout w:type="autofit"/>
        <w:tblLook w:firstColumn="1" w:firstRow="1" w:lastColumn="0" w:lastRow="0" w:noHBand="0" w:noVBand="1" w:val="04A0"/>
      </w:tblPr>
      <w:tblGrid>
        <w:gridCol w:w="9648"/>
      </w:tblGrid>
      <w:tr>
        <w:trPr>
          <w:tblHeader w:val="true"/>
        </w:trPr>
        <w:tc>
          <w:tcPr>
            <w:tcW w:type="dxa" w:w="9648"/>
            <w:vAlign w:val="center"/>
            <w:shd w:fill="EAF6F3"/>
            <w:tcBorders>
              <w:start w:val="single" w:sz="14" w:color="2A8C82"/>
            </w:tcBorders>
            <w:tcMar>
              <w:top w:w="130" w:type="dxa"/>
              <w:start w:w="190" w:type="dxa"/>
              <w:bottom w:w="130" w:type="dxa"/>
              <w:end w:w="190" w:type="dxa"/>
            </w:tcMar>
          </w:tcPr>
          <w:p>
            <w:pPr>
              <w:spacing w:after="0"/>
            </w:pPr>
            <w:r>
              <w:rPr>
                <w:b/>
                <w:color w:val="173A5E"/>
              </w:rPr>
              <w:t xml:space="preserve">IDEA CENTRAL  </w:t>
            </w:r>
            <w:r>
              <w:t>ninguna evaluación predice con certeza un suicidio individual. Su función es reconstruir la trayectoria, identificar peligro actual y factores modificables, y elegir el nivel de protección y continuidad que la persona necesita ahora.</w:t>
            </w:r>
          </w:p>
        </w:tc>
      </w:tr>
    </w:tbl>
    <w:p>
      <w:pPr>
        <w:spacing w:after="0"/>
      </w:pPr>
    </w:p>
    <w:p>
      <w:pPr>
        <w:pStyle w:val="Heading1"/>
      </w:pPr>
      <w:r>
        <w:t>Por qué importa</w:t>
      </w:r>
    </w:p>
    <w:p>
      <w:r>
        <w:t>La pregunta “¿tiene ideas suicidas?” es necesaria, pero insuficiente. Una respuesta negativa después de un intento no borra los preparativos previos; un puntaje elevado no determina por sí solo hospitalización. Las conductas suicidas fluctúan, están influidas por contexto y suelen incluir ambivalencia. Por eso, la evaluación debe ser directa, cronológica y repetida.</w:t>
      </w:r>
    </w:p>
    <w:p>
      <w:r>
        <w:t>El lenguaje también importa. Llamar “manipulativa” a una autolesión confunde función con intención y degrada la atención. Por el contrario, usar “suicidalidad” como palabra paraguas oculta diferencias decisivas entre deseo de morir, plan, intento y lesión sin intención suicida.</w:t>
      </w:r>
    </w:p>
    <w:p>
      <w:pPr>
        <w:pStyle w:val="Heading1"/>
      </w:pPr>
      <w:r>
        <w:t>Objetivos de aprendizaje</w:t>
      </w:r>
    </w:p>
    <w:p>
      <w:pPr>
        <w:keepNext/>
      </w:pPr>
      <w:r>
        <w:t>Al terminar este capítulo, el estudiante podrá:</w:t>
      </w:r>
    </w:p>
    <w:p>
      <w:pPr>
        <w:spacing w:after="60" w:line="288" w:lineRule="auto"/>
        <w:ind w:left="432" w:hanging="216"/>
      </w:pPr>
      <w:r>
        <w:t>1. Distinguir ideación de muerte, ideación suicida, intención, plan, preparativos, intento y autolesión sin intención suicida.</w:t>
      </w:r>
    </w:p>
    <w:p>
      <w:pPr>
        <w:spacing w:after="60" w:line="288" w:lineRule="auto"/>
        <w:ind w:left="432" w:hanging="216"/>
      </w:pPr>
      <w:r>
        <w:t>2. Reconstruir la secuencia de una crisis o intento mediante preguntas directas.</w:t>
      </w:r>
    </w:p>
    <w:p>
      <w:pPr>
        <w:spacing w:after="60" w:line="288" w:lineRule="auto"/>
        <w:ind w:left="432" w:hanging="216"/>
      </w:pPr>
      <w:r>
        <w:t>3. Formular vulnerabilidad basal, estado agudo, factores modificables, apoyos y escenarios plausibles.</w:t>
      </w:r>
    </w:p>
    <w:p>
      <w:pPr>
        <w:spacing w:after="60" w:line="288" w:lineRule="auto"/>
        <w:ind w:left="432" w:hanging="216"/>
      </w:pPr>
      <w:r>
        <w:t>4. Explicar por qué las escalas no deben usarse para predecir ni decidir altas.</w:t>
      </w:r>
    </w:p>
    <w:p>
      <w:pPr>
        <w:spacing w:after="60" w:line="288" w:lineRule="auto"/>
        <w:ind w:left="432" w:hanging="216"/>
      </w:pPr>
      <w:r>
        <w:t>5. Describir un plan de seguridad y una restricción de medios concreta.</w:t>
      </w:r>
    </w:p>
    <w:p>
      <w:pPr>
        <w:spacing w:after="60" w:line="288" w:lineRule="auto"/>
        <w:ind w:left="432" w:hanging="216"/>
      </w:pPr>
      <w:r>
        <w:t>6. Fundamentar estabilización médica, derivación, hospitalización o manejo ambulatorio intensivo.</w:t>
      </w:r>
    </w:p>
    <w:p>
      <w:pPr>
        <w:spacing w:after="60" w:line="288" w:lineRule="auto"/>
        <w:ind w:left="432" w:hanging="216"/>
      </w:pPr>
      <w:r>
        <w:t>7. Documentar el razonamiento y asegurar continuidad después de la crisis.</w:t>
      </w:r>
    </w:p>
    <w:p>
      <w:pPr>
        <w:pStyle w:val="Heading1"/>
      </w:pPr>
      <w:r>
        <w:t>Caso clínico</w:t>
      </w:r>
    </w:p>
    <w:p>
      <w:pPr>
        <w:shd w:fill="EAF3F7"/>
        <w:keepNext/>
        <w:keepLines/>
        <w:pBdr>
          <w:left w:val="single" w:sz="8" w:space="8" w:color="246B8E"/>
        </w:pBdr>
        <w:ind w:left="173" w:right="86"/>
      </w:pPr>
      <w:r>
        <w:t>Martín, de 23 años, llega a urgencias después de ingerir una cantidad potencialmente tóxica de medicamentos. Su hermana interrumpió el acto y llamó a una ambulancia. Durante las dos semanas previas buscó métodos en internet, acumuló comprimidos y dejó mensajes de despedida. Después de estabilizarse afirma que “ya pasó”, niega intención actual y pide irse para rendir una prueba. Presenta depresión, episodios de consumo excesivo de alcohol y un intento previo que su familia desconocía. Su hermana está disponible, pero en la casa continúan accesibles múltiples medicamentos.</w:t>
      </w:r>
    </w:p>
    <w:p>
      <w:pPr>
        <w:shd w:fill="EAF3F7"/>
        <w:keepLines/>
        <w:pBdr>
          <w:left w:val="single" w:sz="8" w:space="8" w:color="246B8E"/>
        </w:pBdr>
        <w:ind w:left="173" w:right="86"/>
      </w:pPr>
      <w:r>
        <w:t>La negación actual aporta información, pero no invalida el proceso reciente. Martín requiere una evaluación especializada que integre preparación, antecedente, consumo, entorno y capacidad real de protección.</w:t>
      </w:r>
    </w:p>
    <w:p>
      <w:pPr>
        <w:pStyle w:val="Heading1"/>
      </w:pPr>
      <w:r>
        <w:t>Fenómenos que deben distinguirse</w:t>
      </w:r>
    </w:p>
    <w:p>
      <w:pPr>
        <w:keepNext/>
      </w:pPr>
      <w:r>
        <w:t>La terminología varía entre guías, pero conviene documentar por separado método, daño, intención y resultado:</w:t>
      </w:r>
    </w:p>
    <w:p>
      <w:pPr>
        <w:pStyle w:val="ListBullet"/>
      </w:pPr>
      <w:r>
        <w:rPr>
          <w:b/>
        </w:rPr>
        <w:t>Deseo pasivo de muerte:</w:t>
      </w:r>
      <w:r>
        <w:t xml:space="preserve"> querer no despertar, desaparecer o estar muerto sin describir una acción para producir la muerte.</w:t>
      </w:r>
    </w:p>
    <w:p>
      <w:pPr>
        <w:pStyle w:val="ListBullet"/>
      </w:pPr>
      <w:r>
        <w:rPr>
          <w:b/>
        </w:rPr>
        <w:t>Ideación suicida:</w:t>
      </w:r>
      <w:r>
        <w:t xml:space="preserve"> pensamientos de causar la propia muerte, desde imágenes fugaces hasta elaboración persistente.</w:t>
      </w:r>
    </w:p>
    <w:p>
      <w:pPr>
        <w:pStyle w:val="ListBullet"/>
      </w:pPr>
      <w:r>
        <w:rPr>
          <w:b/>
        </w:rPr>
        <w:t>Intención suicida:</w:t>
      </w:r>
      <w:r>
        <w:t xml:space="preserve"> expectativa, decisión o propósito de actuar; puede ser ambivalente y fluctuar rápidamente.</w:t>
      </w:r>
    </w:p>
    <w:p>
      <w:pPr>
        <w:pStyle w:val="ListBullet"/>
      </w:pPr>
      <w:r>
        <w:rPr>
          <w:b/>
        </w:rPr>
        <w:t>Plan:</w:t>
      </w:r>
      <w:r>
        <w:t xml:space="preserve"> representación del método, lugar, momento o secuencia.</w:t>
      </w:r>
    </w:p>
    <w:p>
      <w:pPr>
        <w:pStyle w:val="ListBullet"/>
      </w:pPr>
      <w:r>
        <w:rPr>
          <w:b/>
        </w:rPr>
        <w:t>Preparativos:</w:t>
      </w:r>
      <w:r>
        <w:t xml:space="preserve"> adquirir o reunir medios, investigar métodos, despedirse, ordenar asuntos, escribir mensajes, ensayar o desplazarse a un lugar.</w:t>
      </w:r>
    </w:p>
    <w:p>
      <w:pPr>
        <w:pStyle w:val="ListBullet"/>
      </w:pPr>
      <w:r>
        <w:rPr>
          <w:b/>
        </w:rPr>
        <w:t>Intento suicida:</w:t>
      </w:r>
      <w:r>
        <w:t xml:space="preserve"> conducta potencialmente autolesiva realizada con al menos alguna intención de morir, aunque el daño resulte leve o el método fuera poco letal.</w:t>
      </w:r>
    </w:p>
    <w:p>
      <w:pPr>
        <w:pStyle w:val="ListBullet"/>
      </w:pPr>
      <w:r>
        <w:rPr>
          <w:b/>
        </w:rPr>
        <w:t>Intento interrumpido o abortado:</w:t>
      </w:r>
      <w:r>
        <w:t xml:space="preserve"> un tercero o la propia persona detiene el acto antes de completar la acción prevista.</w:t>
      </w:r>
    </w:p>
    <w:p>
      <w:pPr>
        <w:pStyle w:val="ListBullet"/>
      </w:pPr>
      <w:r>
        <w:rPr>
          <w:b/>
        </w:rPr>
        <w:t>Autolesión sin intención suicida:</w:t>
      </w:r>
      <w:r>
        <w:t xml:space="preserve"> daño corporal deliberado cuya función predominante no es morir, por ejemplo regular una emoción o terminar una experiencia disociativa.</w:t>
      </w:r>
    </w:p>
    <w:p>
      <w:r>
        <w:t>Intención subjetiva, letalidad médica y probabilidad objetiva de muerte son dimensiones diferentes. Una lesión superficial puede acompañar una intención alta; una intoxicación grave puede haber ocurrido con intención ambivalente. La autolesión sin intención suicida no debe minimizarse: requiere comprender su función y se asocia a vulnerabilidad futura.</w:t>
      </w:r>
    </w:p>
    <w:p>
      <w:pPr>
        <w:pStyle w:val="Heading1"/>
      </w:pPr>
      <w:r>
        <w:t>Cómo preguntar y reconstruir la secuencia</w:t>
      </w:r>
    </w:p>
    <w:p>
      <w:r>
        <w:t>Preguntar de forma directa no induce suicidio. Puede comenzarse por sufrimiento y desesperanza: “Cuando esto se vuelve insoportable, ¿ha pensado que preferiría no despertar?”. Luego se avanza sin eufemismos: pensamientos de suicidio, método, acceso, intención, plan y preparativos.</w:t>
      </w:r>
    </w:p>
    <w:p>
      <w:r>
        <w:t>Se precisan inicio, frecuencia, duración, intensidad, control percibido y cambios recientes. Conviene preguntar qué acercó a actuar, qué lo detuvo, qué esperaba que ocurriera y si realizó acciones para evitar el rescate. En un intento se reconstruyen las horas previas, la conducta, el descubrimiento, la atención recibida y la valoración posterior. La aparente tranquilidad puede corresponder a resolución, ocultamiento, agotamiento, intoxicación o decisión tomada; no tiene significado único.</w:t>
      </w:r>
    </w:p>
    <w:p>
      <w:r>
        <w:t>También se exploran intentos y autolesiones previas, hospitalizaciones, pérdidas, violencia, dolor, enfermedad, insomnio, agitación, psicosis, impulsividad y consumo. La heteroanamnesis y los registros son esenciales ante gravedad, intoxicación, amnesia o discrepancias. Aunque la persona no autorice compartir información clínica, un familiar puede aportar antecedentes; el uso y devolución de información se rigen por confidencialidad, necesidad de cuidado y normativa aplicable.</w:t>
      </w:r>
    </w:p>
    <w:p>
      <w:pPr>
        <w:pStyle w:val="Heading1"/>
      </w:pPr>
      <w:r>
        <w:t>Formulación dinámica, no estratificación</w:t>
      </w:r>
    </w:p>
    <w:p>
      <w:pPr>
        <w:keepNext/>
      </w:pPr>
      <w:r>
        <w:t>Las escalas pueden estructurar preguntas, pero no deben utilizarse para predecir suicidio, clasificar globalmente en “bajo, medio o alto” ni decidir quién recibe tratamiento o alta. La baja frecuencia del desenlace y la variabilidad temporal generan falsos positivos y falsos negativos. La formulación clínica integra:</w:t>
      </w:r>
    </w:p>
    <w:p>
      <w:pPr>
        <w:pStyle w:val="ListBullet"/>
      </w:pPr>
      <w:r>
        <w:rPr>
          <w:b/>
        </w:rPr>
        <w:t>Vulnerabilidad basal:</w:t>
      </w:r>
      <w:r>
        <w:t xml:space="preserve"> intentos previos, trastornos mentales, trauma, dolor, consumo, impulsividad, antecedentes familiares y condiciones sociales.</w:t>
      </w:r>
    </w:p>
    <w:p>
      <w:pPr>
        <w:pStyle w:val="ListBullet"/>
      </w:pPr>
      <w:r>
        <w:rPr>
          <w:b/>
        </w:rPr>
        <w:t>Estado agudo:</w:t>
      </w:r>
      <w:r>
        <w:t xml:space="preserve"> intención, plan, acceso, preparativos, agitación, intoxicación, psicosis, desesperanza, pérdida reciente y desconexión.</w:t>
      </w:r>
    </w:p>
    <w:p>
      <w:pPr>
        <w:pStyle w:val="ListBullet"/>
      </w:pPr>
      <w:r>
        <w:rPr>
          <w:b/>
        </w:rPr>
        <w:t>Factores modificables:</w:t>
      </w:r>
      <w:r>
        <w:t xml:space="preserve"> acceso a medios, alcohol, insomnio, dolor, conflicto, aislamiento y síntomas tratables.</w:t>
      </w:r>
    </w:p>
    <w:p>
      <w:pPr>
        <w:pStyle w:val="ListBullet"/>
      </w:pPr>
      <w:r>
        <w:rPr>
          <w:b/>
        </w:rPr>
        <w:t>Fortalezas y apoyos:</w:t>
      </w:r>
      <w:r>
        <w:t xml:space="preserve"> búsqueda de ayuda, vínculos, valores, proyectos, disposición a colaborar y acceso real a atención.</w:t>
      </w:r>
    </w:p>
    <w:p>
      <w:r>
        <w:t>Los “protectores” no son amuletos. Tener hijos, religión o empleo no neutraliza una crisis si la persona se siente una carga o no puede utilizar esos vínculos. Se describe el horizonte temporal y los escenarios: qué podría ocurrir, bajo qué condiciones, qué barreras existen y qué intervención cambiaría el escenario. Es útil diferenciar vulnerabilidad crónica de incremento agudo sobre ese basal.</w:t>
      </w:r>
    </w:p>
    <w:p>
      <w:pPr>
        <w:pStyle w:val="Heading1"/>
      </w:pPr>
      <w:r>
        <w:t>Respuesta inmediata y restricción de medios</w:t>
      </w:r>
    </w:p>
    <w:p>
      <w:r>
        <w:t>Primero se estabilizan intoxicación, lesión, alteración de conciencia, abstinencia o compromiso médico. La evaluación psiquiátrica comienza en paralelo cuando es posible, pero una entrevista definitiva requiere condiciones suficientes de conciencia y atención. Una persona con peligro inmediato no debe quedar sola ni ser enviada sin traspaso responsable.</w:t>
      </w:r>
    </w:p>
    <w:p>
      <w:r>
        <w:t>La restricción de medios es una intervención central porque crea tiempo durante una crisis fluctuante. Se acuerda de forma específica: quién retirará o custodiará medicamentos, pesticidas, armas u otros medios; cuándo lo hará; cuánta medicación se dispensará; cómo se verificará. “Guardar las cosas peligrosas” no es un plan. Las armas no se manipulan improvisadamente desde el equipo clínico: su custodia debe ajustarse a procedimientos autorizados.</w:t>
      </w:r>
    </w:p>
    <w:p>
      <w:r>
        <w:t>Se tratan el síndrome psiquiátrico, el dolor, el insomnio, la intoxicación y el consumo pertinentes. No existe un medicamento que, por sí solo, constituya tratamiento específico de toda autolesión. Al prescribir se considera toxicidad en sobredosis y se limitan cantidades cuando corresponde.</w:t>
      </w:r>
    </w:p>
    <w:p>
      <w:pPr>
        <w:pStyle w:val="Heading1"/>
      </w:pPr>
      <w:r>
        <w:t>Plan de seguridad</w:t>
      </w:r>
    </w:p>
    <w:p>
      <w:pPr>
        <w:keepNext/>
      </w:pPr>
      <w:r>
        <w:t>El plan de seguridad es un documento breve, personalizado y accesible, construido con la persona. Incluye una secuencia priorizada:</w:t>
      </w:r>
    </w:p>
    <w:p>
      <w:pPr>
        <w:spacing w:after="60" w:line="288" w:lineRule="auto"/>
        <w:ind w:left="432" w:hanging="216"/>
      </w:pPr>
      <w:r>
        <w:t>1. Señales internas o situaciones que anuncian escalamiento.</w:t>
      </w:r>
    </w:p>
    <w:p>
      <w:pPr>
        <w:spacing w:after="60" w:line="288" w:lineRule="auto"/>
        <w:ind w:left="432" w:hanging="216"/>
      </w:pPr>
      <w:r>
        <w:t>2. Estrategias propias para atravesar la crisis sin actuar.</w:t>
      </w:r>
    </w:p>
    <w:p>
      <w:pPr>
        <w:spacing w:after="60" w:line="288" w:lineRule="auto"/>
        <w:ind w:left="432" w:hanging="216"/>
      </w:pPr>
      <w:r>
        <w:t>3. Lugares y contactos que ofrecen distracción o conexión.</w:t>
      </w:r>
    </w:p>
    <w:p>
      <w:pPr>
        <w:spacing w:after="60" w:line="288" w:lineRule="auto"/>
        <w:ind w:left="432" w:hanging="216"/>
      </w:pPr>
      <w:r>
        <w:t>4. Personas a quienes pedir ayuda explícitamente.</w:t>
      </w:r>
    </w:p>
    <w:p>
      <w:pPr>
        <w:spacing w:after="60" w:line="288" w:lineRule="auto"/>
        <w:ind w:left="432" w:hanging="216"/>
      </w:pPr>
      <w:r>
        <w:t>5. Equipos tratantes, urgencias y canales de crisis aplicables al territorio.</w:t>
      </w:r>
    </w:p>
    <w:p>
      <w:pPr>
        <w:spacing w:after="60" w:line="288" w:lineRule="auto"/>
        <w:ind w:left="432" w:hanging="216"/>
      </w:pPr>
      <w:r>
        <w:t>6. Medidas concretas para reducir acceso a medios.</w:t>
      </w:r>
    </w:p>
    <w:p>
      <w:r>
        <w:t xml:space="preserve">Debe considerar barreras: vergüenza de llamar, falta de saldo, transporte, horarios o vínculos no disponibles. En Chile, al cierre de esta edición, la línea </w:t>
      </w:r>
      <w:r>
        <w:rPr>
          <w:b/>
        </w:rPr>
        <w:t>\*4141</w:t>
      </w:r>
      <w:r>
        <w:t xml:space="preserve"> ofrece apoyo gratuito y continuo desde teléfonos celulares; puede incorporarse como un contacto complementario, pero no sustituye SAMU, urgencias ni supervisión presencial cuando existe peligro inmediato. Se comparte el plan con familiares o profesionales según lo acordado y se revisa en seguimiento. No es un “contrato de no suicidio”, una promesa moral ni una condición para el alta. Una firma no protege; una secuencia practicable puede hacerlo.</w:t>
      </w:r>
    </w:p>
    <w:p>
      <w:pPr>
        <w:pStyle w:val="Heading1"/>
      </w:pPr>
      <w:r>
        <w:t>Disposición y continuidad</w:t>
      </w:r>
    </w:p>
    <w:p>
      <w:r>
        <w:t>La hospitalización se considera cuando el peligro o el compromiso clínico no puede manejarse mediante una alternativa menos restrictiva realmente disponible. Pesan intención persistente, preparativos recientes, acceso no reducible, psicosis, intoxicación, agitación, incapacidad de autocuidado, bajo control conductual, ausencia de apoyo y rechazo del cuidado con capacidad comprometida. Tras intoxicación o sedación, una entrevista inicial puede orientar medidas de protección, pero la disposición definitiva requiere reevaluación cuando atención, memoria y juicio sean clínicamente interpretables; no existe una alcoholemia universal que reemplace esa valoración. La indicación involuntaria exige cumplir la normativa chilena, no sólo escribir “riesgo alto”.</w:t>
      </w:r>
    </w:p>
    <w:p>
      <w:r>
        <w:t>El manejo ambulatorio sólo es razonable si existe colaboración suficiente, entorno seguro, reducción verificable de medios, apoyo disponible, tratamiento definido y seguimiento oportuno. Hospitalizar tampoco elimina el riesgo: ingreso, permisos y alta son transiciones sensibles. Toda derivación requiere comunicación entre equipos y responsabilidad hasta el traspaso.</w:t>
      </w:r>
    </w:p>
    <w:p>
      <w:r>
        <w:t>Después de una urgencia o alta se realiza contacto precoz, proporcional al cuadro. Se revisan ideación, acceso, consumo, adherencia, efectos adversos, cambios contextuales y utilidad del plan. Si persisten preocupaciones de seguridad después de una autolesión, NICE recomienda atención de seguimiento inicial dentro de 48 horas; esa cifra es una referencia clínica útil, no una garantía GES chilena.</w:t>
      </w:r>
    </w:p>
    <w:p>
      <w:r>
        <w:t>La ficha debe registrar fuentes, secuencia, estado mental, acceso, formulación, capacidad, decisiones compartidas, medios restringidos, responsables, contingencia y fecha de seguimiento. “Niega ideación, se da alta” es una conclusión sin razonamiento.</w:t>
      </w:r>
    </w:p>
    <w:p>
      <w:pPr>
        <w:pStyle w:val="Heading1"/>
      </w:pPr>
      <w:r>
        <w:t>Errores frecuentes</w:t>
      </w:r>
    </w:p>
    <w:p>
      <w:pPr>
        <w:pStyle w:val="ListBullet"/>
      </w:pPr>
      <w:r>
        <w:t>Hacer una sola pregunta y aceptar el “no” como evaluación completa.</w:t>
      </w:r>
    </w:p>
    <w:p>
      <w:pPr>
        <w:pStyle w:val="ListBullet"/>
      </w:pPr>
      <w:r>
        <w:t>Inferir intención por la gravedad de la lesión.</w:t>
      </w:r>
    </w:p>
    <w:p>
      <w:pPr>
        <w:pStyle w:val="ListBullet"/>
      </w:pPr>
      <w:r>
        <w:t>Usar una escala o la categoría “riesgo bajo” para decidir el alta.</w:t>
      </w:r>
    </w:p>
    <w:p>
      <w:pPr>
        <w:pStyle w:val="ListBullet"/>
      </w:pPr>
      <w:r>
        <w:t>Llamar manipulativa a una autolesión o punitiva a la atención.</w:t>
      </w:r>
    </w:p>
    <w:p>
      <w:pPr>
        <w:pStyle w:val="ListBullet"/>
      </w:pPr>
      <w:r>
        <w:t>Reemplazar el plan de seguridad por un contrato de no suicidio.</w:t>
      </w:r>
    </w:p>
    <w:p>
      <w:pPr>
        <w:pStyle w:val="ListBullet"/>
      </w:pPr>
      <w:r>
        <w:t>Indicar acompañamiento familiar sin verificar disponibilidad y capacidad.</w:t>
      </w:r>
    </w:p>
    <w:p>
      <w:pPr>
        <w:pStyle w:val="ListBullet"/>
      </w:pPr>
      <w:r>
        <w:t>Hospitalizar automáticamente toda ideación o dar alta porque remitió momentáneamente.</w:t>
      </w:r>
    </w:p>
    <w:p>
      <w:pPr>
        <w:pStyle w:val="ListBullet"/>
      </w:pPr>
      <w:r>
        <w:t>Derivar sin traspaso, restricción de medios ni seguimiento.</w:t>
      </w:r>
    </w:p>
    <w:p>
      <w:pPr>
        <w:pStyle w:val="Heading1"/>
      </w:pPr>
      <w:r>
        <w:t>Para recordar</w:t>
      </w:r>
    </w:p>
    <w:p>
      <w:pPr>
        <w:spacing w:after="60" w:line="288" w:lineRule="auto"/>
        <w:ind w:left="432" w:hanging="216"/>
        <w:shd w:fill="EAF6F3"/>
        <w:keepNext/>
        <w:keepLines/>
        <w:pBdr>
          <w:left w:val="single" w:sz="8" w:space="8" w:color="2A8C82"/>
        </w:pBdr>
      </w:pPr>
      <w:r>
        <w:t>1. Preguntar directamente por suicidio es clínico y seguro.</w:t>
      </w:r>
    </w:p>
    <w:p>
      <w:pPr>
        <w:spacing w:after="60" w:line="288" w:lineRule="auto"/>
        <w:ind w:left="432" w:hanging="216"/>
        <w:shd w:fill="EAF6F3"/>
        <w:keepNext/>
        <w:keepLines/>
        <w:pBdr>
          <w:left w:val="single" w:sz="8" w:space="8" w:color="2A8C82"/>
        </w:pBdr>
      </w:pPr>
      <w:r>
        <w:t>2. Ideación, intención, letalidad, intento y autolesión no son sinónimos.</w:t>
      </w:r>
    </w:p>
    <w:p>
      <w:pPr>
        <w:spacing w:after="60" w:line="288" w:lineRule="auto"/>
        <w:ind w:left="432" w:hanging="216"/>
        <w:shd w:fill="EAF6F3"/>
        <w:keepNext/>
        <w:keepLines/>
        <w:pBdr>
          <w:left w:val="single" w:sz="8" w:space="8" w:color="2A8C82"/>
        </w:pBdr>
      </w:pPr>
      <w:r>
        <w:t>3. El riesgo se formula como proceso y escenarios, no como puntaje mágico.</w:t>
      </w:r>
    </w:p>
    <w:p>
      <w:pPr>
        <w:spacing w:after="60" w:line="288" w:lineRule="auto"/>
        <w:ind w:left="432" w:hanging="216"/>
        <w:shd w:fill="EAF6F3"/>
        <w:keepNext/>
        <w:keepLines/>
        <w:pBdr>
          <w:left w:val="single" w:sz="8" w:space="8" w:color="2A8C82"/>
        </w:pBdr>
      </w:pPr>
      <w:r>
        <w:t>4. Plan de seguridad y restricción de medios son intervenciones concretas.</w:t>
      </w:r>
    </w:p>
    <w:p>
      <w:pPr>
        <w:spacing w:after="60" w:line="288" w:lineRule="auto"/>
        <w:ind w:left="432" w:hanging="216"/>
        <w:shd w:fill="EAF6F3"/>
        <w:keepLines/>
        <w:pBdr>
          <w:left w:val="single" w:sz="8" w:space="8" w:color="2A8C82"/>
        </w:pBdr>
      </w:pPr>
      <w:r>
        <w:t>5. La disposición depende de la capacidad real de protección y debe incluir continuidad.</w:t>
      </w:r>
    </w:p>
    <w:p>
      <w:pPr>
        <w:pStyle w:val="Heading1"/>
      </w:pPr>
      <w:r>
        <w:t>Bibliografía esencial</w:t>
      </w:r>
    </w:p>
    <w:p>
      <w:pPr>
        <w:pStyle w:val="Bibliography"/>
      </w:pPr>
      <w:r>
        <w:t xml:space="preserve">• Department of Veterans Affairs &amp; Department of Defense. </w:t>
      </w:r>
      <w:r>
        <w:rPr>
          <w:i/>
        </w:rPr>
        <w:t>VA/DoD Clinical Practice Guideline for Assessment and Management of Patients at Risk for Suicide</w:t>
      </w:r>
      <w:r>
        <w:t xml:space="preserve">. 2024. </w:t>
      </w:r>
      <w:hyperlink r:id="rId41">
        <w:r>
          <w:rPr>
            <w:color w:val="246B8E"/>
            <w:u w:val="single"/>
          </w:rPr>
          <w:t>Guía y herramientas</w:t>
        </w:r>
      </w:hyperlink>
      <w:r>
        <w:t>.</w:t>
      </w:r>
    </w:p>
    <w:p>
      <w:pPr>
        <w:pStyle w:val="Bibliography"/>
      </w:pPr>
      <w:r>
        <w:t xml:space="preserve">• National Institute for Health and Care Excellence. </w:t>
      </w:r>
      <w:r>
        <w:rPr>
          <w:i/>
        </w:rPr>
        <w:t>Self-harm: assessment, management and preventing recurrence</w:t>
      </w:r>
      <w:r>
        <w:t xml:space="preserve">. NICE guideline NG225. 2022. </w:t>
      </w:r>
      <w:hyperlink r:id="rId25">
        <w:r>
          <w:rPr>
            <w:color w:val="246B8E"/>
            <w:u w:val="single"/>
          </w:rPr>
          <w:t>Recomendaciones</w:t>
        </w:r>
      </w:hyperlink>
      <w:r>
        <w:t>.</w:t>
      </w:r>
    </w:p>
    <w:p>
      <w:pPr>
        <w:pStyle w:val="Bibliography"/>
      </w:pPr>
      <w:r>
        <w:t xml:space="preserve">• World Health Organization. </w:t>
      </w:r>
      <w:r>
        <w:rPr>
          <w:i/>
        </w:rPr>
        <w:t>LIVE LIFE: An implementation guide for suicide prevention in countries</w:t>
      </w:r>
      <w:r>
        <w:t xml:space="preserve">. 2021. </w:t>
      </w:r>
      <w:hyperlink r:id="rId42">
        <w:r>
          <w:rPr>
            <w:color w:val="246B8E"/>
            <w:u w:val="single"/>
          </w:rPr>
          <w:t>Documento</w:t>
        </w:r>
      </w:hyperlink>
      <w:r>
        <w:t>.</w:t>
      </w:r>
    </w:p>
    <w:p>
      <w:pPr>
        <w:pStyle w:val="Bibliography"/>
      </w:pPr>
      <w:r>
        <w:t xml:space="preserve">• Ministerio de Salud de Chile. </w:t>
      </w:r>
      <w:r>
        <w:rPr>
          <w:i/>
        </w:rPr>
        <w:t>Recomendaciones para la actualización del Programa Nacional de Prevención del Suicidio</w:t>
      </w:r>
      <w:r>
        <w:t xml:space="preserve">. 2024. </w:t>
      </w:r>
      <w:hyperlink r:id="rId43">
        <w:r>
          <w:rPr>
            <w:color w:val="246B8E"/>
            <w:u w:val="single"/>
          </w:rPr>
          <w:t>Documento oficial</w:t>
        </w:r>
      </w:hyperlink>
      <w:r>
        <w:t>.</w:t>
      </w:r>
    </w:p>
    <w:p>
      <w:pPr>
        <w:pStyle w:val="Bibliography"/>
      </w:pPr>
      <w:r>
        <w:t xml:space="preserve">• Ministerio de Salud de Chile. </w:t>
      </w:r>
      <w:r>
        <w:rPr>
          <w:i/>
        </w:rPr>
        <w:t>Línea de atención \</w:t>
      </w:r>
      <w:r>
        <w:t xml:space="preserve">4141 «No estás solo, no estás sola»*. </w:t>
      </w:r>
      <w:hyperlink r:id="rId44">
        <w:r>
          <w:rPr>
            <w:color w:val="246B8E"/>
            <w:u w:val="single"/>
          </w:rPr>
          <w:t>Información oficial</w:t>
        </w:r>
      </w:hyperlink>
      <w:r>
        <w:t>.</w:t>
      </w:r>
    </w:p>
    <w:p>
      <w:pPr>
        <w:pStyle w:val="Bibliography"/>
      </w:pPr>
      <w:r>
        <w:t xml:space="preserve">• National Institute for Health and Care Excellence. </w:t>
      </w:r>
      <w:r>
        <w:rPr>
          <w:i/>
        </w:rPr>
        <w:t>Depression in adults: treatment and management</w:t>
      </w:r>
      <w:r>
        <w:t xml:space="preserve">. NICE guideline NG222. 2022. </w:t>
      </w:r>
      <w:hyperlink r:id="rId31">
        <w:r>
          <w:rPr>
            <w:color w:val="246B8E"/>
            <w:u w:val="single"/>
          </w:rPr>
          <w:t>Guía</w:t>
        </w:r>
      </w:hyperlink>
      <w:r>
        <w:t>.</w:t>
      </w:r>
    </w:p>
    <w:p>
      <w:r>
        <w:br w:type="page"/>
      </w:r>
    </w:p>
    <w:p>
      <w:pPr>
        <w:spacing w:after="480"/>
      </w:pPr>
      <w:r>
        <w:rPr>
          <w:rFonts w:ascii="Calibri" w:hAnsi="Calibri"/>
          <w:b/>
          <w:color w:val="2A8C82"/>
          <w:sz w:val="20"/>
        </w:rPr>
        <w:t>CAPÍTULO 15 · MATERIAL PARA ESTUDIANTES</w:t>
      </w:r>
    </w:p>
    <w:tbl>
      <w:tblPr>
        <w:tblW w:type="auto" w:w="0"/>
        <w:jc w:val="left"/>
        <w:tblLayout w:type="fixed"/>
        <w:tblLook w:firstColumn="1" w:firstRow="1" w:lastColumn="0" w:lastRow="0" w:noHBand="0" w:noVBand="1" w:val="04A0"/>
      </w:tblPr>
      <w:tblGrid>
        <w:gridCol w:w="9648"/>
      </w:tblGrid>
      <w:tr>
        <w:trPr>
          <w:tblHeader w:val="true"/>
        </w:trPr>
        <w:tc>
          <w:tcPr>
            <w:tcW w:type="dxa" w:w="9072"/>
            <w:shd w:fill="173A5E"/>
            <w:tcMar>
              <w:top w:w="120" w:type="dxa"/>
              <w:start w:w="220" w:type="dxa"/>
              <w:bottom w:w="120" w:type="dxa"/>
              <w:end w:w="220" w:type="dxa"/>
            </w:tcMar>
          </w:tcPr>
          <w:p>
            <w:pPr>
              <w:spacing w:after="0"/>
            </w:pPr>
            <w:r>
              <w:rPr>
                <w:rFonts w:ascii="Calibri" w:hAnsi="Calibri"/>
                <w:b/>
                <w:color w:val="FFFFFF"/>
                <w:sz w:val="19"/>
              </w:rPr>
              <w:t>MÓDULO II · PATOLOGÍAS, GES Y TRATAMIENTOS</w:t>
            </w:r>
          </w:p>
        </w:tc>
      </w:tr>
    </w:tbl>
    <w:p>
      <w:pPr>
        <w:pStyle w:val="Title"/>
        <w:spacing w:before="520" w:after="360"/>
        <w:outlineLvl w:val="0"/>
      </w:pPr>
      <w:bookmarkStart w:id="1015" w:name="chapter_15"/>
      <w:r>
        <w:t>Psicoterapias y tratamientos psicosociales: indicaciones para el médico general</w:t>
      </w:r>
      <w:bookmarkEnd w:id="1015"/>
    </w:p>
    <w:p>
      <w:pPr>
        <w:spacing w:after="80"/>
      </w:pPr>
      <w:r>
        <w:rPr>
          <w:rFonts w:ascii="Calibri" w:hAnsi="Calibri"/>
          <w:b/>
          <w:color w:val="246B8E"/>
          <w:sz w:val="26"/>
        </w:rPr>
        <w:t>Programa de Psiquiatría para internos de Medicina</w:t>
      </w:r>
    </w:p>
    <w:p>
      <w:r>
        <w:rPr>
          <w:rFonts w:ascii="Calibri" w:hAnsi="Calibri"/>
          <w:color w:val="6B7280"/>
          <w:sz w:val="22"/>
        </w:rPr>
        <w:t>Lectura complementaria · Chile · Versión final para revisión humana · 2026</w:t>
      </w:r>
    </w:p>
    <w:p/>
    <w:p/>
    <w:p/>
    <w:p/>
    <w:p/>
    <w:tbl>
      <w:tblPr>
        <w:tblW w:type="auto" w:w="0"/>
        <w:jc w:val="left"/>
        <w:tblLayout w:type="fixed"/>
        <w:tblLook w:firstColumn="1" w:firstRow="1" w:lastColumn="0" w:lastRow="0" w:noHBand="0" w:noVBand="1" w:val="04A0"/>
      </w:tblPr>
      <w:tblGrid>
        <w:gridCol w:w="9648"/>
      </w:tblGrid>
      <w:tr>
        <w:trPr>
          <w:tblHeader w:val="true"/>
        </w:trPr>
        <w:tc>
          <w:tcPr>
            <w:tcW w:type="dxa" w:w="9648"/>
            <w:shd w:fill="F3F5F6"/>
            <w:tcBorders>
              <w:start w:val="single" w:sz="18" w:color="2A8C82"/>
            </w:tcBorders>
            <w:tcMar>
              <w:top w:w="160" w:type="dxa"/>
              <w:start w:w="220" w:type="dxa"/>
              <w:bottom w:w="160" w:type="dxa"/>
              <w:end w:w="220" w:type="dxa"/>
            </w:tcMar>
          </w:tcPr>
          <w:p>
            <w:pPr>
              <w:spacing w:after="0"/>
            </w:pPr>
            <w:r>
              <w:rPr>
                <w:rFonts w:ascii="Calibri" w:hAnsi="Calibri"/>
                <w:i/>
                <w:color w:val="6B7280"/>
                <w:sz w:val="18"/>
              </w:rPr>
              <w:t>Versión docente final para revisión humana. Material propuesto y contextualizado a Chile; no corresponde a un programa oficial de la Pontificia Universidad Católica de Chile ni sustituye protocolos locales, supervisión clínica o evaluación especializada. Fuentes revisadas al 15 de agosto de 2026.</w:t>
            </w:r>
          </w:p>
        </w:tc>
      </w:tr>
    </w:tbl>
    <w:p>
      <w:r>
        <w:br w:type="page"/>
      </w:r>
    </w:p>
    <w:tbl>
      <w:tblPr>
        <w:tblW w:type="auto" w:w="0"/>
        <w:jc w:val="center"/>
        <w:tblLayout w:type="autofit"/>
        <w:tblLook w:firstColumn="1" w:firstRow="1" w:lastColumn="0" w:lastRow="0" w:noHBand="0" w:noVBand="1" w:val="04A0"/>
      </w:tblPr>
      <w:tblGrid>
        <w:gridCol w:w="9648"/>
      </w:tblGrid>
      <w:tr>
        <w:trPr>
          <w:tblHeader w:val="true"/>
        </w:trPr>
        <w:tc>
          <w:tcPr>
            <w:tcW w:type="dxa" w:w="9648"/>
            <w:vAlign w:val="center"/>
            <w:shd w:fill="EAF3F7"/>
            <w:tcBorders>
              <w:start w:val="single" w:sz="14" w:color="2A8C82"/>
            </w:tcBorders>
            <w:tcMar>
              <w:top w:w="130" w:type="dxa"/>
              <w:start w:w="190" w:type="dxa"/>
              <w:bottom w:w="130" w:type="dxa"/>
              <w:end w:w="190" w:type="dxa"/>
            </w:tcMar>
          </w:tcPr>
          <w:p>
            <w:pPr>
              <w:spacing w:after="0"/>
            </w:pPr>
            <w:r>
              <w:rPr>
                <w:b/>
                <w:color w:val="173A5E"/>
              </w:rPr>
              <w:t xml:space="preserve">PREGUNTA CLÍNICA  </w:t>
            </w:r>
            <w:r>
              <w:t>¿Qué intervención psicológica o psicosocial conviene recomendar, para qué problema y con qué objetivo verificable?</w:t>
            </w:r>
          </w:p>
        </w:tc>
      </w:tr>
    </w:tbl>
    <w:p>
      <w:pPr>
        <w:spacing w:after="0"/>
      </w:pPr>
    </w:p>
    <w:tbl>
      <w:tblPr>
        <w:tblW w:type="auto" w:w="0"/>
        <w:jc w:val="center"/>
        <w:tblLayout w:type="autofit"/>
        <w:tblLook w:firstColumn="1" w:firstRow="1" w:lastColumn="0" w:lastRow="0" w:noHBand="0" w:noVBand="1" w:val="04A0"/>
      </w:tblPr>
      <w:tblGrid>
        <w:gridCol w:w="9648"/>
      </w:tblGrid>
      <w:tr>
        <w:trPr>
          <w:tblHeader w:val="true"/>
        </w:trPr>
        <w:tc>
          <w:tcPr>
            <w:tcW w:type="dxa" w:w="9648"/>
            <w:vAlign w:val="center"/>
            <w:shd w:fill="EAF6F3"/>
            <w:tcBorders>
              <w:start w:val="single" w:sz="14" w:color="2A8C82"/>
            </w:tcBorders>
            <w:tcMar>
              <w:top w:w="130" w:type="dxa"/>
              <w:start w:w="190" w:type="dxa"/>
              <w:bottom w:w="130" w:type="dxa"/>
              <w:end w:w="190" w:type="dxa"/>
            </w:tcMar>
          </w:tcPr>
          <w:p>
            <w:pPr>
              <w:spacing w:after="0"/>
            </w:pPr>
            <w:r>
              <w:rPr>
                <w:b/>
                <w:color w:val="173A5E"/>
              </w:rPr>
              <w:t xml:space="preserve">IDEA CENTRAL  </w:t>
            </w:r>
            <w:r>
              <w:t>“hacer terapia” no es una intervención única. Una buena indicación vincula problema, mecanismo, fase clínica, preferencia y capacidad de participación con un tratamiento estructurado y realmente disponible.</w:t>
            </w:r>
          </w:p>
        </w:tc>
      </w:tr>
    </w:tbl>
    <w:p>
      <w:pPr>
        <w:spacing w:after="0"/>
      </w:pPr>
    </w:p>
    <w:p>
      <w:pPr>
        <w:pStyle w:val="Heading1"/>
      </w:pPr>
      <w:r>
        <w:t>Por qué importa</w:t>
      </w:r>
    </w:p>
    <w:p>
      <w:r>
        <w:t>Derivar a “psicoterapia” sin especificar el problema se parece a derivar a “medicamentos” sin diagnóstico. El nombre de una escuela tampoco garantiza calidad: la eficacia demostrada corresponde a intervenciones definidas, profesionales competentes y poblaciones concretas. Al mismo tiempo, el médico general no necesita convertirse en psicoterapeuta para indicar mejor, apoyar cambios conductuales y coordinar el tratamiento.</w:t>
      </w:r>
    </w:p>
    <w:p>
      <w:r>
        <w:t>La pregunta útil no es qué terapia es superior en abstracto. Es qué necesita esta persona, en este momento, para modificar el proceso que mantiene su sufrimiento o deterioro.</w:t>
      </w:r>
    </w:p>
    <w:p>
      <w:pPr>
        <w:pStyle w:val="Heading1"/>
      </w:pPr>
      <w:r>
        <w:t>Objetivos de aprendizaje</w:t>
      </w:r>
    </w:p>
    <w:p>
      <w:pPr>
        <w:keepNext/>
      </w:pPr>
      <w:r>
        <w:t>Al terminar este capítulo, el estudiante podrá:</w:t>
      </w:r>
    </w:p>
    <w:p>
      <w:pPr>
        <w:spacing w:after="60" w:line="288" w:lineRule="auto"/>
        <w:ind w:left="432" w:hanging="216"/>
      </w:pPr>
      <w:r>
        <w:t>1. Diferenciar factores comunes de técnicas específicas.</w:t>
      </w:r>
    </w:p>
    <w:p>
      <w:pPr>
        <w:spacing w:after="60" w:line="288" w:lineRule="auto"/>
        <w:ind w:left="432" w:hanging="216"/>
      </w:pPr>
      <w:r>
        <w:t>2. Reconocer focos generales de terapia cognitivo-conductual, activación conductual, terapia interpersonal y psicoterapia psicodinámica breve.</w:t>
      </w:r>
    </w:p>
    <w:p>
      <w:pPr>
        <w:spacing w:after="60" w:line="288" w:lineRule="auto"/>
        <w:ind w:left="432" w:hanging="216"/>
      </w:pPr>
      <w:r>
        <w:t>3. Comprender el lugar de psicoterapias estructuradas en trastornos de personalidad y autolesión.</w:t>
      </w:r>
    </w:p>
    <w:p>
      <w:pPr>
        <w:spacing w:after="60" w:line="288" w:lineRule="auto"/>
        <w:ind w:left="432" w:hanging="216"/>
      </w:pPr>
      <w:r>
        <w:t>4. Identificar tratamientos centrados en trauma y evitar intervenciones potencialmente iatrogénicas.</w:t>
      </w:r>
    </w:p>
    <w:p>
      <w:pPr>
        <w:spacing w:after="60" w:line="288" w:lineRule="auto"/>
        <w:ind w:left="432" w:hanging="216"/>
      </w:pPr>
      <w:r>
        <w:t>5. Reconocer cuándo incorporar pareja, familia, cuidadores y rehabilitación psicosocial.</w:t>
      </w:r>
    </w:p>
    <w:p>
      <w:pPr>
        <w:spacing w:after="60" w:line="288" w:lineRule="auto"/>
        <w:ind w:left="432" w:hanging="216"/>
      </w:pPr>
      <w:r>
        <w:t>6. Formular una derivación con problema diana, objetivo, urgencia y forma de evaluar progreso.</w:t>
      </w:r>
    </w:p>
    <w:p>
      <w:pPr>
        <w:pStyle w:val="Heading1"/>
      </w:pPr>
      <w:r>
        <w:t>Caso clínico</w:t>
      </w:r>
    </w:p>
    <w:p>
      <w:pPr>
        <w:shd w:fill="EAF3F7"/>
        <w:keepNext/>
        <w:keepLines/>
        <w:pBdr>
          <w:left w:val="single" w:sz="8" w:space="8" w:color="246B8E"/>
        </w:pBdr>
        <w:ind w:left="173" w:right="86"/>
      </w:pPr>
      <w:r>
        <w:t>Elena, de 32 años, presenta depresión moderada con abandono de actividades, conflicto de pareja y temor intenso al rechazo. Tiene antecedentes de trauma interpersonal, pero no reúne actualmente un síndrome postraumático completo. Se autolesionó dos veces durante crisis y solicita “una terapia para sacar todo”. Su pareja insiste en asistir a las sesiones, aunque Elena refiere conductas controladoras que todavía no desea detallar.</w:t>
      </w:r>
    </w:p>
    <w:p>
      <w:pPr>
        <w:shd w:fill="EAF3F7"/>
        <w:keepLines/>
        <w:pBdr>
          <w:left w:val="single" w:sz="8" w:space="8" w:color="246B8E"/>
        </w:pBdr>
        <w:ind w:left="173" w:right="86"/>
      </w:pPr>
      <w:r>
        <w:t>La indicación no se deduce de una etiqueta. Puede requerir activación para la depresión, evaluación de patrones interpersonales y un tratamiento estructurado para regulación emocional. El trauma se explora con consentimiento; no autoriza a forzar exposición. La terapia de pareja sólo se considera después de evaluar seguridad y coerción.</w:t>
      </w:r>
    </w:p>
    <w:p>
      <w:pPr>
        <w:pStyle w:val="Heading1"/>
      </w:pPr>
      <w:r>
        <w:t>Psicoterapia es tratamiento, no conversación genérica</w:t>
      </w:r>
    </w:p>
    <w:p>
      <w:r>
        <w:t>Una psicoterapia clínica tiene objetivos, marco, método, profesional competente y evaluación de progreso. Escuchar, contener y explicar son intervenciones médicas valiosas, pero no equivalen automáticamente a una terapia estructurada. Del mismo modo, una terapia “ecléctica” no hereda la eficacia de todas las escuelas por mezclar técnicas.</w:t>
      </w:r>
    </w:p>
    <w:p>
      <w:r>
        <w:t>Los factores comunes incluyen alianza, empatía, acuerdo sobre objetivos, explicación comprensible, expectativa razonable y oportunidad de ensayar nuevas conductas o significados. Son condiciones importantes, pero no vuelven intercambiables todas las intervenciones. Para TOC se necesita exposición con prevención de respuesta; para TEPT, un tratamiento focal cuando está indicado; para TLP, una psicoterapia estructurada dirigida a sus características centrales.</w:t>
      </w:r>
    </w:p>
    <w:p>
      <w:r>
        <w:t>La elección incorpora cultura, idioma, neurodivergencia, discapacidad, horarios, costo y modalidad. Una terapia ideal pero inaccesible no constituye un plan. Mientras se espera, el equipo mantiene seguimiento, trata urgencias y ofrece una alternativa proporcional. Manía, delirium, intoxicación o psicosis desorganizada pueden impedir temporalmente la participación suficiente; riesgo suicida no excluye psicoterapia, pero exige coordinación y un plan de seguridad.</w:t>
      </w:r>
    </w:p>
    <w:p>
      <w:pPr>
        <w:pStyle w:val="Heading1"/>
      </w:pPr>
      <w:r>
        <w:t>Terapia cognitivo-conductual y activación conductual</w:t>
      </w:r>
    </w:p>
    <w:p>
      <w:r>
        <w:t>La terapia cognitivo-conductual (TCC) formula relaciones entre situaciones, interpretaciones, emociones, respuestas corporales y conductas. Utiliza técnicas cognitivas y conductuales para modificar ciclos mantenedores. No consiste en “pensar positivo” ni en convencer al paciente de que sus problemas son imaginarios.</w:t>
      </w:r>
    </w:p>
    <w:p>
      <w:r>
        <w:t>Cuenta con adaptaciones basadas en evidencia para depresión, pánico, ansiedad social, TOC, insomnio, trauma y psicosis, entre otros. El mismo rótulo incluye protocolos diferentes: una TCC para pánico no es una TCC para TOC. Por eso la derivación debe nombrar el problema diana.</w:t>
      </w:r>
    </w:p>
    <w:p>
      <w:r>
        <w:t>La activación conductual identifica cómo el retiro, la evitación y la pérdida de refuerzo mantienen la depresión. El tratamiento reconstruye gradualmente actividades vinculadas con dominio, conexión, placer o valores, y observa su efecto. No equivale a ordenar “ponga de su parte”. El médico puede acordar una acción pequeña y medible —por ejemplo, retomar una caminata acompañada dos veces por semana— sin afirmar que realiza una psicoterapia completa.</w:t>
      </w:r>
    </w:p>
    <w:p>
      <w:r>
        <w:t>En fobias y TOC, la exposición eficaz es planificada, gradual cuando corresponde y vinculada con reducción de evitación o prevención de rituales. Exponer de manera vaga, coercitiva o sin comprender las conductas de seguridad puede reforzar el problema.</w:t>
      </w:r>
    </w:p>
    <w:p>
      <w:pPr>
        <w:pStyle w:val="Heading1"/>
      </w:pPr>
      <w:r>
        <w:t>Terapia interpersonal y psicoterapia psicodinámica breve</w:t>
      </w:r>
    </w:p>
    <w:p>
      <w:r>
        <w:t>La terapia interpersonal (TIP) vincula los síntomas con áreas actuales como duelo, transición de rol, disputas y aislamiento o déficits interpersonales. Trabaja comunicación, expectativas, roles y red de apoyo. Tiene un lugar destacado en depresión y adaptaciones para contextos perinatales; no se reduce a “hablar de relaciones”.</w:t>
      </w:r>
    </w:p>
    <w:p>
      <w:r>
        <w:t>La psicoterapia psicodinámica breve focaliza afectos, conflictos, defensas y patrones relacionales que se repiten en el presente, incluida la relación terapéutica cuando es clínicamente útil. Puede ser pertinente cuando el problema se articula con patrones accesibles a reflexión y existe un foco acordado. No toda exploración de infancia es psicodinámica ni toda persona debe reconstruir extensamente el pasado.</w:t>
      </w:r>
    </w:p>
    <w:p>
      <w:r>
        <w:t>La elección entre modalidades depende de formulación, preferencia, experiencia previa, capacidad de trabajar con el método y disponibilidad. En depresión grave, mayor intensidad y combinación con farmacoterapia pueden ser necesarias; la escuela nunca debe ocultar la urgencia clínica.</w:t>
      </w:r>
    </w:p>
    <w:p>
      <w:pPr>
        <w:pStyle w:val="Heading1"/>
      </w:pPr>
      <w:r>
        <w:t>Psicoterapias estructuradas para personalidad y autolesión</w:t>
      </w:r>
    </w:p>
    <w:p>
      <w:r>
        <w:t>En trastorno límite de la personalidad (TLP), las guías actuales recomiendan una psicoterapia estructurada, apoyada por evidencia y dirigida a las características centrales del trastorno. Terapia dialéctico-conductual (DBT), tratamiento basado en mentalización, psicoterapia focalizada en la transferencia y manejo psiquiátrico general estructurado son ejemplos con distintos marcos y disponibilidad. No corresponde declarar que una sola es universalmente superior.</w:t>
      </w:r>
    </w:p>
    <w:p>
      <w:r>
        <w:t>La DBT integral combina aceptación y cambio y jerarquiza conductas que amenazan la vida, interfieren con el tratamiento y deterioran la calidad de vida. Incluye terapia individual, entrenamiento en habilidades, apoyo entre sesiones y equipo de terapeutas en su formato completo. Mindfulness, tolerancia al malestar, regulación emocional y efectividad interpersonal son componentes centrales. Un entrenamiento aislado de habilidades puede ser útil, pero no debe presentarse como DBT integral.</w:t>
      </w:r>
    </w:p>
    <w:p>
      <w:r>
        <w:t>El médico contribuye mediante validación, límites consistentes, plan de crisis, coordinación entre profesionales y evitación de polifarmacia reactiva. Las guías recomiendan que cualquier fármaco dirigido a un síntoma del TLP sea acotado, medible y adjunto a psicoterapia; no existe un medicamento que trate por sí solo el trastorno completo. La autolesión exige evaluación funcional y de intención, no una derivación automática a una escuela.</w:t>
      </w:r>
    </w:p>
    <w:p>
      <w:pPr>
        <w:pStyle w:val="Heading1"/>
      </w:pPr>
      <w:r>
        <w:t>Tratamientos centrados en trauma</w:t>
      </w:r>
    </w:p>
    <w:p>
      <w:r>
        <w:t>El antecedente de trauma no equivale a TEPT ni obliga a narrar detalles. Cuando existe TEPT o síntomas clínicamente significativos, las intervenciones de primera línea incluyen TCC centrada en trauma —como exposición prolongada o terapia de procesamiento cognitivo— y desensibilización y reprocesamiento por movimientos oculares (EMDR), realizadas por profesionales entrenados.</w:t>
      </w:r>
    </w:p>
    <w:p>
      <w:r>
        <w:t>El tratamiento focal suele incluir psicoeducación, manejo de activación, procesamiento de memorias o significados, reducción de evitación y recuperación funcional. “Estabilización” no debe transformarse en postergación indefinida, pero violencia activa, disociación grave, intoxicación o peligro inmediato pueden exigir prioridades previas. La decisión se comparte y el ritmo se adapta sin eliminar los componentes terapéuticos esenciales.</w:t>
      </w:r>
    </w:p>
    <w:p>
      <w:r>
        <w:t>No se recomienda el debriefing psicológico obligatorio de una sola sesión para prevenir o tratar TEPT: no ha demostrado beneficio y existe señal de posible daño. Atención informada por trauma significa explicar, ofrecer elección, reducir coerción evitable y reconocer el efecto de experiencias previas; no significa asumir que todos los síntomas provienen del trauma.</w:t>
      </w:r>
    </w:p>
    <w:p>
      <w:pPr>
        <w:pStyle w:val="Heading1"/>
      </w:pPr>
      <w:r>
        <w:t>Pareja, familia y tratamientos psicosociales</w:t>
      </w:r>
    </w:p>
    <w:p>
      <w:r>
        <w:t>Las intervenciones de pareja pueden ser útiles cuando un patrón relacional participa en depresión, conflicto o adherencia. Antes se evalúan violencia, coerción, miedo y posibilidad de hablar con libertad. La terapia conjunta no es una opción rutinaria frente a violencia coercitiva activa, porque puede aumentar peligro o represalias.</w:t>
      </w:r>
    </w:p>
    <w:p>
      <w:r>
        <w:t>La psicoeducación familiar y las intervenciones de prevención de recaídas son relevantes en bipolaridad y psicosis. En consumo de sustancias, la red puede apoyar reducción de daño, adherencia y contingencias. Los cuidadores también necesitan información, límites y apoyo; involucrarlos no significa revelar todo sin consentimiento.</w:t>
      </w:r>
    </w:p>
    <w:p>
      <w:r>
        <w:t>La rehabilitación psicosocial busca recuperar autonomía, roles, estudio, trabajo, vínculos y participación comunitaria. Puede incluir gestión de casos, empleo con apoyo, rehabilitación cognitiva, entrenamiento de habilidades, apoyo habitacional y coordinación intersectorial. Recuperación no equivale sólo a reducción sintomática: incluye una vida significativa y poder de decisión.</w:t>
      </w:r>
    </w:p>
    <w:p>
      <w:r>
        <w:t>Los determinantes sociales requieren respuestas sociales. Deuda, vivienda, discriminación, violencia o inseguridad laboral no deben psicologizarse como “creencias disfuncionales”. La psicoterapia puede ayudar a afrontar sus efectos, pero no sustituye protección, derechos ni intervención material.</w:t>
      </w:r>
    </w:p>
    <w:p>
      <w:pPr>
        <w:pStyle w:val="Heading1"/>
      </w:pPr>
      <w:r>
        <w:t>Cómo indicar, derivar y coordinar</w:t>
      </w:r>
    </w:p>
    <w:p>
      <w:pPr>
        <w:keepNext/>
      </w:pPr>
      <w:r>
        <w:t>Una derivación útil contiene:</w:t>
      </w:r>
    </w:p>
    <w:p>
      <w:pPr>
        <w:spacing w:after="60" w:line="288" w:lineRule="auto"/>
        <w:ind w:left="432" w:hanging="216"/>
      </w:pPr>
      <w:r>
        <w:t>1. Problema diana: pánico, evitación, depresión, duelo, autolesión, trauma, conflicto, adherencia o funcionamiento.</w:t>
      </w:r>
    </w:p>
    <w:p>
      <w:pPr>
        <w:spacing w:after="60" w:line="288" w:lineRule="auto"/>
        <w:ind w:left="432" w:hanging="216"/>
      </w:pPr>
      <w:r>
        <w:t>2. Diagnóstico o formulación provisional, gravedad, riesgo y fase clínica.</w:t>
      </w:r>
    </w:p>
    <w:p>
      <w:pPr>
        <w:spacing w:after="60" w:line="288" w:lineRule="auto"/>
        <w:ind w:left="432" w:hanging="216"/>
      </w:pPr>
      <w:r>
        <w:t>3. Tratamientos actuales, respuesta previa y barreras de acceso.</w:t>
      </w:r>
    </w:p>
    <w:p>
      <w:pPr>
        <w:spacing w:after="60" w:line="288" w:lineRule="auto"/>
        <w:ind w:left="432" w:hanging="216"/>
      </w:pPr>
      <w:r>
        <w:t>4. Preferencias y objetivos de la persona.</w:t>
      </w:r>
    </w:p>
    <w:p>
      <w:pPr>
        <w:spacing w:after="60" w:line="288" w:lineRule="auto"/>
        <w:ind w:left="432" w:hanging="216"/>
      </w:pPr>
      <w:r>
        <w:t>5. Pregunta al terapeuta: evaluación de modalidad o intervención específica.</w:t>
      </w:r>
    </w:p>
    <w:p>
      <w:pPr>
        <w:spacing w:after="60" w:line="288" w:lineRule="auto"/>
        <w:ind w:left="432" w:hanging="216"/>
      </w:pPr>
      <w:r>
        <w:t>6. Forma de medir progreso y mecanismo de coordinación, respetando confidencialidad.</w:t>
      </w:r>
    </w:p>
    <w:p>
      <w:r>
        <w:t>Se monitorean síntomas y resultados funcionales acordados, además de asistencia, alianza, efectos negativos y obstáculos. Una escala puede ayudar a seguir una meta, pero no decide por sí sola si el tratamiento funciona: deben revisarse deterioro, dependencia improductiva, exposición mal conducida, aumento de autolesión o una alianza que impide expresar desacuerdo. No se declara fracaso sólo por incomodidad inicial, pero tampoco se mantiene indefinidamente una terapia sin objetivos ni cambio.</w:t>
      </w:r>
    </w:p>
    <w:p>
      <w:r>
        <w:t>La coordinación requiere consentimiento informado sobre qué información circulará entre profesionales. Ante peligro relevante se aplican las excepciones legales correspondientes, pero “trabajar en equipo” no significa compartir la historia completa sin propósito. En Elena, depresión y retiro justifican activación o TCC; la autolesión y desregulación requieren evaluar una psicoterapia estructurada. El antecedente traumático se investiga sin imponer un foco, y la seguridad antecede a cualquier intervención de pareja.</w:t>
      </w:r>
    </w:p>
    <w:p>
      <w:pPr>
        <w:pStyle w:val="Heading1"/>
      </w:pPr>
      <w:r>
        <w:t>Errores frecuentes</w:t>
      </w:r>
    </w:p>
    <w:p>
      <w:pPr>
        <w:pStyle w:val="ListBullet"/>
      </w:pPr>
      <w:r>
        <w:t>Derivar a “psicoterapia” sin problema ni objetivo.</w:t>
      </w:r>
    </w:p>
    <w:p>
      <w:pPr>
        <w:pStyle w:val="ListBullet"/>
      </w:pPr>
      <w:r>
        <w:t>Llamar TCC a consejos de pensamiento positivo.</w:t>
      </w:r>
    </w:p>
    <w:p>
      <w:pPr>
        <w:pStyle w:val="ListBullet"/>
      </w:pPr>
      <w:r>
        <w:t>Confundir activación conductual con exhortar esfuerzo.</w:t>
      </w:r>
    </w:p>
    <w:p>
      <w:pPr>
        <w:pStyle w:val="ListBullet"/>
      </w:pPr>
      <w:r>
        <w:t>Suponer que una escuela sirve igual para cualquier diagnóstico y fase.</w:t>
      </w:r>
    </w:p>
    <w:p>
      <w:pPr>
        <w:pStyle w:val="ListBullet"/>
      </w:pPr>
      <w:r>
        <w:t>Reducir DBT a habilidades sueltas o indicarla automáticamente por toda autolesión.</w:t>
      </w:r>
    </w:p>
    <w:p>
      <w:pPr>
        <w:pStyle w:val="ListBullet"/>
      </w:pPr>
      <w:r>
        <w:t>Explorar trauma en detalle sin indicación, consentimiento ni capacidad de contener.</w:t>
      </w:r>
    </w:p>
    <w:p>
      <w:pPr>
        <w:pStyle w:val="ListBullet"/>
      </w:pPr>
      <w:r>
        <w:t>Realizar terapia de pareja ante coerción activa sin evaluación especializada.</w:t>
      </w:r>
    </w:p>
    <w:p>
      <w:pPr>
        <w:pStyle w:val="ListBullet"/>
      </w:pPr>
      <w:r>
        <w:t>Suspender el seguimiento médico porque comenzó psicoterapia.</w:t>
      </w:r>
    </w:p>
    <w:p>
      <w:pPr>
        <w:pStyle w:val="ListBullet"/>
      </w:pPr>
      <w:r>
        <w:t>Psicologizar pobreza, violencia o exclusión.</w:t>
      </w:r>
    </w:p>
    <w:p>
      <w:pPr>
        <w:pStyle w:val="Heading1"/>
      </w:pPr>
      <w:r>
        <w:t>Para recordar</w:t>
      </w:r>
    </w:p>
    <w:p>
      <w:pPr>
        <w:spacing w:after="60" w:line="288" w:lineRule="auto"/>
        <w:ind w:left="432" w:hanging="216"/>
        <w:shd w:fill="EAF6F3"/>
        <w:keepNext/>
        <w:keepLines/>
        <w:pBdr>
          <w:left w:val="single" w:sz="8" w:space="8" w:color="2A8C82"/>
        </w:pBdr>
      </w:pPr>
      <w:r>
        <w:t>1. Psicoterapia es una intervención con foco, método y seguimiento.</w:t>
      </w:r>
    </w:p>
    <w:p>
      <w:pPr>
        <w:spacing w:after="60" w:line="288" w:lineRule="auto"/>
        <w:ind w:left="432" w:hanging="216"/>
        <w:shd w:fill="EAF6F3"/>
        <w:keepNext/>
        <w:keepLines/>
        <w:pBdr>
          <w:left w:val="single" w:sz="8" w:space="8" w:color="2A8C82"/>
        </w:pBdr>
      </w:pPr>
      <w:r>
        <w:t>2. Los factores comunes importan, pero las técnicas específicas también.</w:t>
      </w:r>
    </w:p>
    <w:p>
      <w:pPr>
        <w:spacing w:after="60" w:line="288" w:lineRule="auto"/>
        <w:ind w:left="432" w:hanging="216"/>
        <w:shd w:fill="EAF6F3"/>
        <w:keepNext/>
        <w:keepLines/>
        <w:pBdr>
          <w:left w:val="single" w:sz="8" w:space="8" w:color="2A8C82"/>
        </w:pBdr>
      </w:pPr>
      <w:r>
        <w:t>3. La indicación conecta problema, mecanismo, fase y preferencias.</w:t>
      </w:r>
    </w:p>
    <w:p>
      <w:pPr>
        <w:spacing w:after="60" w:line="288" w:lineRule="auto"/>
        <w:ind w:left="432" w:hanging="216"/>
        <w:shd w:fill="EAF6F3"/>
        <w:keepNext/>
        <w:keepLines/>
        <w:pBdr>
          <w:left w:val="single" w:sz="8" w:space="8" w:color="2A8C82"/>
        </w:pBdr>
      </w:pPr>
      <w:r>
        <w:t>4. El médico puede apoyar el cambio sin atribuirse competencias que no posee.</w:t>
      </w:r>
    </w:p>
    <w:p>
      <w:pPr>
        <w:spacing w:after="60" w:line="288" w:lineRule="auto"/>
        <w:ind w:left="432" w:hanging="216"/>
        <w:shd w:fill="EAF6F3"/>
        <w:keepLines/>
        <w:pBdr>
          <w:left w:val="single" w:sz="8" w:space="8" w:color="2A8C82"/>
        </w:pBdr>
      </w:pPr>
      <w:r>
        <w:t>5. Recuperación incluye síntomas, función, autonomía y una vida valorada.</w:t>
      </w:r>
    </w:p>
    <w:p>
      <w:pPr>
        <w:pStyle w:val="Heading1"/>
      </w:pPr>
      <w:r>
        <w:t>Bibliografía esencial</w:t>
      </w:r>
    </w:p>
    <w:p>
      <w:pPr>
        <w:pStyle w:val="Bibliography"/>
      </w:pPr>
      <w:r>
        <w:t xml:space="preserve">• National Institute for Health and Care Excellence. </w:t>
      </w:r>
      <w:r>
        <w:rPr>
          <w:i/>
        </w:rPr>
        <w:t>Depression in adults: treatment and management</w:t>
      </w:r>
      <w:r>
        <w:t xml:space="preserve">. NICE guideline NG222. 2022. </w:t>
      </w:r>
      <w:hyperlink r:id="rId31">
        <w:r>
          <w:rPr>
            <w:color w:val="246B8E"/>
            <w:u w:val="single"/>
          </w:rPr>
          <w:t>Guía</w:t>
        </w:r>
      </w:hyperlink>
      <w:r>
        <w:t>.</w:t>
      </w:r>
    </w:p>
    <w:p>
      <w:pPr>
        <w:pStyle w:val="Bibliography"/>
      </w:pPr>
      <w:r>
        <w:t xml:space="preserve">• Department of Veterans Affairs &amp; Department of Defense. </w:t>
      </w:r>
      <w:r>
        <w:rPr>
          <w:i/>
        </w:rPr>
        <w:t>VA/DoD Clinical Practice Guideline for the Management of Major Depressive Disorder</w:t>
      </w:r>
      <w:r>
        <w:t xml:space="preserve">. 2022. </w:t>
      </w:r>
      <w:hyperlink r:id="rId32">
        <w:r>
          <w:rPr>
            <w:color w:val="246B8E"/>
            <w:u w:val="single"/>
          </w:rPr>
          <w:t>Guía</w:t>
        </w:r>
      </w:hyperlink>
      <w:r>
        <w:t>.</w:t>
      </w:r>
    </w:p>
    <w:p>
      <w:pPr>
        <w:pStyle w:val="Bibliography"/>
      </w:pPr>
      <w:r>
        <w:t xml:space="preserve">• American Psychiatric Association. </w:t>
      </w:r>
      <w:r>
        <w:rPr>
          <w:i/>
        </w:rPr>
        <w:t>The American Psychiatric Association Practice Guideline for the Treatment of Patients With Borderline Personality Disorder</w:t>
      </w:r>
      <w:r>
        <w:t xml:space="preserve">. 2nd ed. 2024. </w:t>
      </w:r>
      <w:hyperlink r:id="rId45">
        <w:r>
          <w:rPr>
            <w:color w:val="246B8E"/>
            <w:u w:val="single"/>
          </w:rPr>
          <w:t>Resumen de recomendaciones</w:t>
        </w:r>
      </w:hyperlink>
      <w:r>
        <w:t>.</w:t>
      </w:r>
    </w:p>
    <w:p>
      <w:pPr>
        <w:pStyle w:val="Bibliography"/>
      </w:pPr>
      <w:r>
        <w:t xml:space="preserve">• National Institute for Health and Care Excellence. </w:t>
      </w:r>
      <w:r>
        <w:rPr>
          <w:i/>
        </w:rPr>
        <w:t>Post-traumatic stress disorder</w:t>
      </w:r>
      <w:r>
        <w:t xml:space="preserve">. NICE guideline NG116. 2018. </w:t>
      </w:r>
      <w:hyperlink r:id="rId46">
        <w:r>
          <w:rPr>
            <w:color w:val="246B8E"/>
            <w:u w:val="single"/>
          </w:rPr>
          <w:t>Recomendaciones</w:t>
        </w:r>
      </w:hyperlink>
      <w:r>
        <w:t>.</w:t>
      </w:r>
    </w:p>
    <w:p>
      <w:pPr>
        <w:pStyle w:val="Bibliography"/>
      </w:pPr>
      <w:r>
        <w:t xml:space="preserve">• National Institute for Health and Care Excellence. </w:t>
      </w:r>
      <w:r>
        <w:rPr>
          <w:i/>
        </w:rPr>
        <w:t>Self-harm: assessment, management and preventing recurrence</w:t>
      </w:r>
      <w:r>
        <w:t xml:space="preserve">. NICE guideline NG225. 2022. </w:t>
      </w:r>
      <w:hyperlink r:id="rId47">
        <w:r>
          <w:rPr>
            <w:color w:val="246B8E"/>
            <w:u w:val="single"/>
          </w:rPr>
          <w:t>Guía</w:t>
        </w:r>
      </w:hyperlink>
      <w:r>
        <w:t>.</w:t>
      </w:r>
    </w:p>
    <w:p>
      <w:pPr>
        <w:pStyle w:val="Bibliography"/>
      </w:pPr>
      <w:r>
        <w:t xml:space="preserve">• National Institute for Health and Care Excellence. </w:t>
      </w:r>
      <w:r>
        <w:rPr>
          <w:i/>
        </w:rPr>
        <w:t>Obsessive-compulsive disorder and body dysmorphic disorder: treatment</w:t>
      </w:r>
      <w:r>
        <w:t xml:space="preserve">. Clinical guideline CG31. </w:t>
      </w:r>
      <w:hyperlink r:id="rId48">
        <w:r>
          <w:rPr>
            <w:color w:val="246B8E"/>
            <w:u w:val="single"/>
          </w:rPr>
          <w:t>Recomendaciones</w:t>
        </w:r>
      </w:hyperlink>
      <w:r>
        <w:t>.</w:t>
      </w:r>
    </w:p>
    <w:p>
      <w:r>
        <w:br w:type="page"/>
      </w:r>
    </w:p>
    <w:p>
      <w:pPr>
        <w:spacing w:after="480"/>
      </w:pPr>
      <w:r>
        <w:rPr>
          <w:rFonts w:ascii="Calibri" w:hAnsi="Calibri"/>
          <w:b/>
          <w:color w:val="2A8C82"/>
          <w:sz w:val="20"/>
        </w:rPr>
        <w:t>CAPÍTULO 16 · MATERIAL PARA ESTUDIANTES</w:t>
      </w:r>
    </w:p>
    <w:tbl>
      <w:tblPr>
        <w:tblW w:type="auto" w:w="0"/>
        <w:jc w:val="left"/>
        <w:tblLayout w:type="fixed"/>
        <w:tblLook w:firstColumn="1" w:firstRow="1" w:lastColumn="0" w:lastRow="0" w:noHBand="0" w:noVBand="1" w:val="04A0"/>
      </w:tblPr>
      <w:tblGrid>
        <w:gridCol w:w="9648"/>
      </w:tblGrid>
      <w:tr>
        <w:trPr>
          <w:tblHeader w:val="true"/>
        </w:trPr>
        <w:tc>
          <w:tcPr>
            <w:tcW w:type="dxa" w:w="9072"/>
            <w:shd w:fill="173A5E"/>
            <w:tcMar>
              <w:top w:w="120" w:type="dxa"/>
              <w:start w:w="220" w:type="dxa"/>
              <w:bottom w:w="120" w:type="dxa"/>
              <w:end w:w="220" w:type="dxa"/>
            </w:tcMar>
          </w:tcPr>
          <w:p>
            <w:pPr>
              <w:spacing w:after="0"/>
            </w:pPr>
            <w:r>
              <w:rPr>
                <w:rFonts w:ascii="Calibri" w:hAnsi="Calibri"/>
                <w:b/>
                <w:color w:val="FFFFFF"/>
                <w:sz w:val="19"/>
              </w:rPr>
              <w:t>MÓDULO II · PATOLOGÍAS, GES Y TRATAMIENTOS</w:t>
            </w:r>
          </w:p>
        </w:tc>
      </w:tr>
    </w:tbl>
    <w:p>
      <w:pPr>
        <w:pStyle w:val="Title"/>
        <w:spacing w:before="520" w:after="360"/>
        <w:outlineLvl w:val="0"/>
      </w:pPr>
      <w:bookmarkStart w:id="1016" w:name="chapter_16"/>
      <w:r>
        <w:t>Trastorno bipolar I y II: reconocimiento clínico y diagnóstico longitudinal</w:t>
      </w:r>
      <w:bookmarkEnd w:id="1016"/>
    </w:p>
    <w:p>
      <w:pPr>
        <w:spacing w:after="80"/>
      </w:pPr>
      <w:r>
        <w:rPr>
          <w:rFonts w:ascii="Calibri" w:hAnsi="Calibri"/>
          <w:b/>
          <w:color w:val="246B8E"/>
          <w:sz w:val="26"/>
        </w:rPr>
        <w:t>Programa de Psiquiatría para internos de Medicina</w:t>
      </w:r>
    </w:p>
    <w:p>
      <w:r>
        <w:rPr>
          <w:rFonts w:ascii="Calibri" w:hAnsi="Calibri"/>
          <w:color w:val="6B7280"/>
          <w:sz w:val="22"/>
        </w:rPr>
        <w:t>Lectura complementaria · Chile · Versión final para revisión humana · 2026</w:t>
      </w:r>
    </w:p>
    <w:p/>
    <w:p/>
    <w:p/>
    <w:p/>
    <w:p/>
    <w:tbl>
      <w:tblPr>
        <w:tblW w:type="auto" w:w="0"/>
        <w:jc w:val="left"/>
        <w:tblLayout w:type="fixed"/>
        <w:tblLook w:firstColumn="1" w:firstRow="1" w:lastColumn="0" w:lastRow="0" w:noHBand="0" w:noVBand="1" w:val="04A0"/>
      </w:tblPr>
      <w:tblGrid>
        <w:gridCol w:w="9648"/>
      </w:tblGrid>
      <w:tr>
        <w:trPr>
          <w:tblHeader w:val="true"/>
        </w:trPr>
        <w:tc>
          <w:tcPr>
            <w:tcW w:type="dxa" w:w="9648"/>
            <w:shd w:fill="F3F5F6"/>
            <w:tcBorders>
              <w:start w:val="single" w:sz="18" w:color="2A8C82"/>
            </w:tcBorders>
            <w:tcMar>
              <w:top w:w="160" w:type="dxa"/>
              <w:start w:w="220" w:type="dxa"/>
              <w:bottom w:w="160" w:type="dxa"/>
              <w:end w:w="220" w:type="dxa"/>
            </w:tcMar>
          </w:tcPr>
          <w:p>
            <w:pPr>
              <w:spacing w:after="0"/>
            </w:pPr>
            <w:r>
              <w:rPr>
                <w:rFonts w:ascii="Calibri" w:hAnsi="Calibri"/>
                <w:i/>
                <w:color w:val="6B7280"/>
                <w:sz w:val="18"/>
              </w:rPr>
              <w:t>Versión docente final para revisión humana. Material propuesto y contextualizado a Chile; no corresponde a un programa oficial de la Pontificia Universidad Católica de Chile ni sustituye protocolos locales, supervisión clínica o evaluación especializada. Fuentes revisadas al 15 de agosto de 2026.</w:t>
            </w:r>
          </w:p>
        </w:tc>
      </w:tr>
    </w:tbl>
    <w:p>
      <w:r>
        <w:br w:type="page"/>
      </w:r>
    </w:p>
    <w:tbl>
      <w:tblPr>
        <w:tblW w:type="auto" w:w="0"/>
        <w:jc w:val="center"/>
        <w:tblLayout w:type="autofit"/>
        <w:tblLook w:firstColumn="1" w:firstRow="1" w:lastColumn="0" w:lastRow="0" w:noHBand="0" w:noVBand="1" w:val="04A0"/>
      </w:tblPr>
      <w:tblGrid>
        <w:gridCol w:w="9648"/>
      </w:tblGrid>
      <w:tr>
        <w:trPr>
          <w:tblHeader w:val="true"/>
        </w:trPr>
        <w:tc>
          <w:tcPr>
            <w:tcW w:type="dxa" w:w="9648"/>
            <w:vAlign w:val="center"/>
            <w:shd w:fill="EAF3F7"/>
            <w:tcBorders>
              <w:start w:val="single" w:sz="14" w:color="2A8C82"/>
            </w:tcBorders>
            <w:tcMar>
              <w:top w:w="130" w:type="dxa"/>
              <w:start w:w="190" w:type="dxa"/>
              <w:bottom w:w="130" w:type="dxa"/>
              <w:end w:w="190" w:type="dxa"/>
            </w:tcMar>
          </w:tcPr>
          <w:p>
            <w:pPr>
              <w:spacing w:after="0"/>
            </w:pPr>
            <w:r>
              <w:rPr>
                <w:b/>
                <w:color w:val="173A5E"/>
              </w:rPr>
              <w:t xml:space="preserve">PREGUNTA CLÍNICA  </w:t>
            </w:r>
            <w:r>
              <w:t>¿Cómo reconocer bipolaridad cuando la persona consulta deprimida y recuerda la hipomanía como uno de sus mejores períodos?</w:t>
            </w:r>
          </w:p>
        </w:tc>
      </w:tr>
    </w:tbl>
    <w:p>
      <w:pPr>
        <w:spacing w:after="0"/>
      </w:pPr>
    </w:p>
    <w:tbl>
      <w:tblPr>
        <w:tblW w:type="auto" w:w="0"/>
        <w:jc w:val="center"/>
        <w:tblLayout w:type="autofit"/>
        <w:tblLook w:firstColumn="1" w:firstRow="1" w:lastColumn="0" w:lastRow="0" w:noHBand="0" w:noVBand="1" w:val="04A0"/>
      </w:tblPr>
      <w:tblGrid>
        <w:gridCol w:w="9648"/>
      </w:tblGrid>
      <w:tr>
        <w:trPr>
          <w:tblHeader w:val="true"/>
        </w:trPr>
        <w:tc>
          <w:tcPr>
            <w:tcW w:type="dxa" w:w="9648"/>
            <w:vAlign w:val="center"/>
            <w:shd w:fill="EAF6F3"/>
            <w:tcBorders>
              <w:start w:val="single" w:sz="14" w:color="2A8C82"/>
            </w:tcBorders>
            <w:tcMar>
              <w:top w:w="130" w:type="dxa"/>
              <w:start w:w="190" w:type="dxa"/>
              <w:bottom w:w="130" w:type="dxa"/>
              <w:end w:w="190" w:type="dxa"/>
            </w:tcMar>
          </w:tcPr>
          <w:p>
            <w:pPr>
              <w:spacing w:after="0"/>
            </w:pPr>
            <w:r>
              <w:rPr>
                <w:b/>
                <w:color w:val="173A5E"/>
              </w:rPr>
              <w:t xml:space="preserve">IDEA CENTRAL  </w:t>
            </w:r>
            <w:r>
              <w:t>el trastorno bipolar no se diagnostica por labilidad ni por “cambios de ánimo”, sino demostrando episodios de polaridad definida dentro de una trayectoria longitudinal.</w:t>
            </w:r>
          </w:p>
        </w:tc>
      </w:tr>
    </w:tbl>
    <w:p>
      <w:pPr>
        <w:spacing w:after="0"/>
      </w:pPr>
    </w:p>
    <w:p>
      <w:pPr>
        <w:pStyle w:val="Heading1"/>
      </w:pPr>
      <w:r>
        <w:t>Por qué importa</w:t>
      </w:r>
    </w:p>
    <w:p>
      <w:r>
        <w:t>La mayoría de las personas con trastorno bipolar solicita ayuda durante una depresión, no durante una manía inequívoca. Si la entrevista se limita al episodio actual, una parte importante de la historia queda invisible. El error puede conducir a años de retraso diagnóstico, exposición poco cuidadosa a antidepresivos y ausencia de un plan preventivo. El error inverso también importa: sobrediagnosticar bipolaridad por irritabilidad, impulsividad o variaciones cotidianas expone a tratamientos innecesarios y fija una etiqueta difícil de retirar.</w:t>
      </w:r>
    </w:p>
    <w:p>
      <w:r>
        <w:t>El desafío no consiste en reconocer una manía espectacular, sino en reconstruir cambios episódicos de energía, actividad, sueño, pensamiento y conducta. Las escalas de tamizaje pueden abrir esa conversación, pero no reemplazan la entrevista, la información colateral ni el seguimiento.</w:t>
      </w:r>
    </w:p>
    <w:p>
      <w:pPr>
        <w:pStyle w:val="Heading1"/>
      </w:pPr>
      <w:r>
        <w:t>Objetivos de aprendizaje</w:t>
      </w:r>
    </w:p>
    <w:p>
      <w:pPr>
        <w:pStyle w:val="ListBullet"/>
      </w:pPr>
      <w:r>
        <w:t>Diferenciar manía, hipomanía, depresión bipolar y fluctuaciones no episódicas.</w:t>
      </w:r>
    </w:p>
    <w:p>
      <w:pPr>
        <w:pStyle w:val="ListBullet"/>
      </w:pPr>
      <w:r>
        <w:t>Distinguir trastorno bipolar I y II sin jerarquizarlos como “grave” y “leve”.</w:t>
      </w:r>
    </w:p>
    <w:p>
      <w:pPr>
        <w:pStyle w:val="ListBullet"/>
      </w:pPr>
      <w:r>
        <w:t>Investigar polaridad previa mediante preguntas conductuales y una línea temporal.</w:t>
      </w:r>
    </w:p>
    <w:p>
      <w:pPr>
        <w:pStyle w:val="ListBullet"/>
      </w:pPr>
      <w:r>
        <w:t>Reconocer características mixtas, psicosis y ciclaje rápido.</w:t>
      </w:r>
    </w:p>
    <w:p>
      <w:pPr>
        <w:pStyle w:val="ListBullet"/>
      </w:pPr>
      <w:r>
        <w:t>Diferenciar inicialmente bipolaridad de TDAH, trastorno límite y cuadros inducidos.</w:t>
      </w:r>
    </w:p>
    <w:p>
      <w:pPr>
        <w:pStyle w:val="ListBullet"/>
      </w:pPr>
      <w:r>
        <w:t>Estimar gravedad y decidir cuándo la evaluación debe ser urgente.</w:t>
      </w:r>
    </w:p>
    <w:p>
      <w:pPr>
        <w:pStyle w:val="Heading1"/>
      </w:pPr>
      <w:r>
        <w:t>Caso clínico</w:t>
      </w:r>
    </w:p>
    <w:p>
      <w:pPr>
        <w:shd w:fill="EAF3F7"/>
        <w:keepNext/>
        <w:keepLines/>
        <w:pBdr>
          <w:left w:val="single" w:sz="8" w:space="8" w:color="246B8E"/>
        </w:pBdr>
        <w:ind w:left="173" w:right="86"/>
      </w:pPr>
      <w:r>
        <w:t>Daniela, de 29 años, consulta por su tercer episodio depresivo. A los 22 recibió sertralina y dos semanas después comenzó a dormir tres horas por noche sin cansancio, inició tres proyectos, habló de manera inusualmente rápida y gastó buena parte de sus ahorros. El cambio duró seis días. Su familia lo recuerda como una transformación evidente; Daniela lo describe como la única época en que fue “realmente eficiente”. Nunca fue hospitalizada y niega haber tenido “manía”.</w:t>
      </w:r>
    </w:p>
    <w:p>
      <w:pPr>
        <w:shd w:fill="EAF3F7"/>
        <w:keepLines/>
        <w:pBdr>
          <w:left w:val="single" w:sz="8" w:space="8" w:color="246B8E"/>
        </w:pBdr>
        <w:ind w:left="173" w:right="86"/>
      </w:pPr>
      <w:r>
        <w:t>Preguntar únicamente si alguna vez estuvo maníaca habría producido una respuesta negativa. La reconstrucción conductual, en cambio, muestra un período diferenciado, observable y con consecuencias. Aún corresponde precisar otros síntomas, relación con el antidepresivo, duración después de suspenderlo, deterioro y episodios independientes antes de formular el diagnóstico.</w:t>
      </w:r>
    </w:p>
    <w:p>
      <w:pPr>
        <w:pStyle w:val="Heading1"/>
      </w:pPr>
      <w:r>
        <w:t>Episodios, no adjetivos</w:t>
      </w:r>
    </w:p>
    <w:p>
      <w:r>
        <w:t>La manía es un período inequívoco de ánimo elevado, expansivo o irritable y aumento anormal de energía o actividad, acompañado por síntomas como menor necesidad de dormir, aumento del habla, aceleración o fuga de ideas, distractibilidad, grandiosidad, mayor actividad dirigida a objetivos y conductas riesgosas. Produce deterioro marcado, puede requerir hospitalización o incluir psicosis. En DSM-5-TR, un episodio que requiere hospitalización por el cuadro maníaco puede calificarse como manía aunque no complete siete días; no cualquier “gravedad” inespecífica elimina el umbral temporal y debe respetarse el sistema diagnóstico utilizado.</w:t>
      </w:r>
    </w:p>
    <w:p>
      <w:r>
        <w:t>La hipomanía comparte la organización episódica, pero no produce deterioro grave, psicosis ni necesidad de hospitalización atribuible al episodio. No equivale a “sentirse bien”, trabajar con entusiasmo o dormir poco por una entrega. La distinción más útil es el cambio respecto del funcionamiento habitual. El insomnio deja cansancio y deseo de dormir; la menor necesidad de sueño permite dormir poco sin fatiga subjetiva.</w:t>
      </w:r>
    </w:p>
    <w:p>
      <w:r>
        <w:t>En DSM-5-TR, las duraciones orientadoras son al menos siete días para manía y cuatro para hipomanía, con las excepciones clínicas señaladas. CIE-11 usa una arquitectura semejante, pero las clasificaciones no son idénticas. El relato no debe deformarse para encajar en un número: se documentan duración real, gravedad, contexto y consecuencias.</w:t>
      </w:r>
    </w:p>
    <w:p>
      <w:pPr>
        <w:pStyle w:val="Heading1"/>
      </w:pPr>
      <w:r>
        <w:t>Bipolar I, bipolar II y otros cursos</w:t>
      </w:r>
    </w:p>
    <w:p>
      <w:r>
        <w:t>Trastorno bipolar I requiere al menos un episodio maníaco; no exige una depresión mayor previa, aunque suele existir. Bipolar II requiere episodios hipomaníacos y depresivos mayores y ausencia de manía. Una psicosis durante un supuesto episodio hipomaníaco obliga a reclasificarlo como manía. Bipolar II no es una versión trivial: la carga depresiva, la recurrencia y la suicidalidad pueden ser considerables.</w:t>
      </w:r>
    </w:p>
    <w:p>
      <w:r>
        <w:t>La ciclotimia describe fluctuaciones crónicas subumbrales con períodos hipomaniformes y depresivos que no cumplen episodios completos. Otras categorías especificadas permiten registrar presentaciones clínicamente relevantes que no satisfacen todos los umbrales. No deben convertirse en un cajón para toda inestabilidad emocional.</w:t>
      </w:r>
    </w:p>
    <w:p>
      <w:r>
        <w:t>Ante una depresión aumentan la sospecha el inicio precoz, recurrencias, historia familiar, depresión posparto, síntomas psicóticos, hipersomnia, hiperfagia, episodios breves repetidos y activación inequívoca con antidepresivos. Ningún marcador aislado confirma bipolaridad. La activación puede corresponder a ansiedad, acatisia, insomnio o efecto farmacológico inespecífico; debe demostrarse un síndrome y su trayectoria.</w:t>
      </w:r>
    </w:p>
    <w:p>
      <w:r>
        <w:t>Cuando un síndrome maníaco o hipomaníaco completo aparece durante un antidepresivo y persiste más allá de su efecto fisiológico esperable, aporta evidencia de un episodio espontáneo en la clasificación DSM. Si desaparece rápidamente al retirar el agente, la hipótesis inducida conserva mayor peso. Esta regla exige juicio farmacológico y seguimiento: ni el viraje atribuido por recuerdo ni la respuesta a un estabilizador constituyen pruebas diagnósticas por sí solas.</w:t>
      </w:r>
    </w:p>
    <w:p>
      <w:pPr>
        <w:pStyle w:val="Heading1"/>
      </w:pPr>
      <w:r>
        <w:t>Características mixtas y curso</w:t>
      </w:r>
    </w:p>
    <w:p>
      <w:r>
        <w:t>Durante una depresión deben buscarse simultáneamente aceleración, aumento de energía, menor necesidad de sueño, impulsividad o aumento anormal de actividad. Durante una manía pueden coexistir desesperanza, culpa e ideas suicidas. Las características mixtas suelen ser disfóricas e irritables y pueden combinar energía suficiente para actuar con sufrimiento depresivo intenso.</w:t>
      </w:r>
    </w:p>
    <w:p>
      <w:r>
        <w:t>Ansiedad, irritabilidad o agitación aisladas no bastan para llamar mixto a un episodio. La precisión importa porque las presentaciones mixtas elevan el riesgo y modifican la prudencia con antidepresivos. Ciclaje rápido describe cuatro o más episodios afectivos en doce meses; es un descriptor de curso, no una identidad permanente. Deben revisarse sustancias, antidepresivos, función tiroidea, sueño y adherencia sin atribuir causalidad automática.</w:t>
      </w:r>
    </w:p>
    <w:p>
      <w:pPr>
        <w:pStyle w:val="Heading1"/>
      </w:pPr>
      <w:r>
        <w:t>Reconstruir una línea de vida</w:t>
      </w:r>
    </w:p>
    <w:p>
      <w:r>
        <w:t>En vez de preguntar “¿ha tenido manía?”, conviene explorar períodos concretos: “¿Hubo semanas en que durmiera mucho menos y aun así tuviera más energía?”, “¿Qué notó su familia?”, “¿Aparecieron gastos, proyectos, discusiones, conducción riesgosa o mayor actividad sexual?”. Luego se establecen comienzo, término, duración, cambio basal y consecuencias.</w:t>
      </w:r>
    </w:p>
    <w:p>
      <w:r>
        <w:t>Los síntomas deben haber coexistido dentro del mismo período. No es válido reunir una compra impulsiva de un año, tres noches de insomnio de otro y sociabilidad habitual para fabricar un episodio. Recetas, licencias, urgencias, hospitalizaciones, deudas o mensajes pueden ayudar si son pertinentes y se revisan respetando confidencialidad.</w:t>
      </w:r>
    </w:p>
    <w:p>
      <w:r>
        <w:t>La heteroanamnesis es particularmente valiosa porque la hipomanía puede ser egosintónica. Debe usarse como otra fuente, no como veredicto automático. El Mood Disorder Questionnaire y herramientas similares tienen falsos positivos; una puntuación elevada obliga a entrevistar mejor, no a diagnosticar.</w:t>
      </w:r>
    </w:p>
    <w:p>
      <w:r>
        <w:t>La certeza diagnóstica también debe quedar visible. “Bipolar I confirmado”, “episodio hipomaniforme probable” y “depresión recurrente con bipolaridad en estudio” no son frases intercambiables. En una historia incompleta es legítimo mantener una hipótesis y programar la información que falta: entrevista a un tercero, registros de un episodio, observación después de retirar una sustancia o seguimiento entre fases. Tratar una urgencia no exige fingir una certeza etiológica que aún no existe.</w:t>
      </w:r>
    </w:p>
    <w:p>
      <w:pPr>
        <w:pStyle w:val="Heading1"/>
      </w:pPr>
      <w:r>
        <w:t>Diferenciales de alto rendimiento</w:t>
      </w:r>
    </w:p>
    <w:p>
      <w:r>
        <w:t>En TDAH, la distractibilidad y la impulsividad se remontan al desarrollo y son relativamente persistentes. En bipolaridad representan un quiebre episódico. En trastorno límite de la personalidad predominan patrones duraderos de identidad, relaciones y reactividad interpersonal; las variaciones pueden ocurrir en horas. Ambos pueden coexistir con bipolaridad.</w:t>
      </w:r>
    </w:p>
    <w:p>
      <w:r>
        <w:t>Estimulantes, cocaína, cannabis, corticoides, dopaminérgicos y antidepresivos pueden inducir o agravar activación. La temporalidad, dosis, retirada y persistencia organizan la atribución. En trastornos psicóticos se estudia si la psicosis ocurre sólo dentro de episodios afectivos o conserva autonomía longitudinal. Un rasgo hipertímico es estable y no produce el quiebre funcional propio de un episodio.</w:t>
      </w:r>
    </w:p>
    <w:p>
      <w:pPr>
        <w:pStyle w:val="Heading1"/>
      </w:pPr>
      <w:r>
        <w:t>Gravedad y conducta inicial</w:t>
      </w:r>
    </w:p>
    <w:p>
      <w:r>
        <w:t>Se investigan psicosis, agitación, conducción, exposición financiera o sexual, agresividad, autocuidado, hidratación, sustancias e ideas suicidas. El riesgo no se limita al suicidio: una manía puede causar daño grave mediante juicio alterado, explotación o incapacidad de satisfacer necesidades básicas.</w:t>
      </w:r>
    </w:p>
    <w:p>
      <w:r>
        <w:t>Manía probable requiere evaluación especializada pronta. Psicosis, peligro actual, incapacidad de autocuidado, ausencia de una red segura o causa médica posible justifican evaluación de urgencia. La confirmación que activa GES 75 corresponde a especialista; el médico general no necesita esperar esa confirmación para estabilizar una emergencia.</w:t>
      </w:r>
    </w:p>
    <w:p>
      <w:pPr>
        <w:pStyle w:val="Heading1"/>
      </w:pPr>
      <w:r>
        <w:t>Errores frecuentes</w:t>
      </w:r>
    </w:p>
    <w:p>
      <w:pPr>
        <w:pStyle w:val="ListBullet"/>
      </w:pPr>
      <w:r>
        <w:t>Diagnosticar bipolaridad por “altibajos”, irritabilidad o impulsividad.</w:t>
      </w:r>
    </w:p>
    <w:p>
      <w:pPr>
        <w:pStyle w:val="ListBullet"/>
      </w:pPr>
      <w:r>
        <w:t>Confundir insomnio con menor necesidad de sueño.</w:t>
      </w:r>
    </w:p>
    <w:p>
      <w:pPr>
        <w:pStyle w:val="ListBullet"/>
      </w:pPr>
      <w:r>
        <w:t>Preguntar sólo si la persona “ha sido maníaca”.</w:t>
      </w:r>
    </w:p>
    <w:p>
      <w:pPr>
        <w:pStyle w:val="ListBullet"/>
      </w:pPr>
      <w:r>
        <w:t>Considerar bipolar II una enfermedad necesariamente leve.</w:t>
      </w:r>
    </w:p>
    <w:p>
      <w:pPr>
        <w:pStyle w:val="ListBullet"/>
      </w:pPr>
      <w:r>
        <w:t>Diagnosticar mediante una escala de tamizaje.</w:t>
      </w:r>
    </w:p>
    <w:p>
      <w:pPr>
        <w:pStyle w:val="ListBullet"/>
      </w:pPr>
      <w:r>
        <w:t>Reunir rasgos dispersos como si hubieran formado un episodio.</w:t>
      </w:r>
    </w:p>
    <w:p>
      <w:pPr>
        <w:pStyle w:val="ListBullet"/>
      </w:pPr>
      <w:r>
        <w:t>Asumir que toda activación con antidepresivos confirma bipolaridad.</w:t>
      </w:r>
    </w:p>
    <w:p>
      <w:pPr>
        <w:pStyle w:val="Heading1"/>
      </w:pPr>
      <w:r>
        <w:t>Para recordar</w:t>
      </w:r>
    </w:p>
    <w:p>
      <w:pPr>
        <w:spacing w:after="60" w:line="288" w:lineRule="auto"/>
        <w:ind w:left="432" w:hanging="216"/>
        <w:shd w:fill="EAF6F3"/>
        <w:keepNext/>
        <w:keepLines/>
        <w:pBdr>
          <w:left w:val="single" w:sz="8" w:space="8" w:color="2A8C82"/>
        </w:pBdr>
      </w:pPr>
      <w:r>
        <w:t>1. Bipolaridad es un diagnóstico de episodios y trayectoria.</w:t>
      </w:r>
    </w:p>
    <w:p>
      <w:pPr>
        <w:spacing w:after="60" w:line="288" w:lineRule="auto"/>
        <w:ind w:left="432" w:hanging="216"/>
        <w:shd w:fill="EAF6F3"/>
        <w:keepNext/>
        <w:keepLines/>
        <w:pBdr>
          <w:left w:val="single" w:sz="8" w:space="8" w:color="2A8C82"/>
        </w:pBdr>
      </w:pPr>
      <w:r>
        <w:t>2. Menor necesidad de sueño es más informativa que insomnio aislado.</w:t>
      </w:r>
    </w:p>
    <w:p>
      <w:pPr>
        <w:spacing w:after="60" w:line="288" w:lineRule="auto"/>
        <w:ind w:left="432" w:hanging="216"/>
        <w:shd w:fill="EAF6F3"/>
        <w:keepNext/>
        <w:keepLines/>
        <w:pBdr>
          <w:left w:val="single" w:sz="8" w:space="8" w:color="2A8C82"/>
        </w:pBdr>
      </w:pPr>
      <w:r>
        <w:t>3. La información colateral puede revelar cambios que el paciente vivió como bienestar.</w:t>
      </w:r>
    </w:p>
    <w:p>
      <w:pPr>
        <w:spacing w:after="60" w:line="288" w:lineRule="auto"/>
        <w:ind w:left="432" w:hanging="216"/>
        <w:shd w:fill="EAF6F3"/>
        <w:keepNext/>
        <w:keepLines/>
        <w:pBdr>
          <w:left w:val="single" w:sz="8" w:space="8" w:color="2A8C82"/>
        </w:pBdr>
      </w:pPr>
      <w:r>
        <w:t>4. Las características mixtas aumentan complejidad y riesgo.</w:t>
      </w:r>
    </w:p>
    <w:p>
      <w:pPr>
        <w:spacing w:after="60" w:line="288" w:lineRule="auto"/>
        <w:ind w:left="432" w:hanging="216"/>
        <w:shd w:fill="EAF6F3"/>
        <w:keepLines/>
        <w:pBdr>
          <w:left w:val="single" w:sz="8" w:space="8" w:color="2A8C82"/>
        </w:pBdr>
      </w:pPr>
      <w:r>
        <w:t>5. Antes de tratar una depresión recurrente debe investigarse polaridad previa.</w:t>
      </w:r>
    </w:p>
    <w:p>
      <w:pPr>
        <w:pStyle w:val="Heading1"/>
      </w:pPr>
      <w:r>
        <w:t>Bibliografía esencial</w:t>
      </w:r>
    </w:p>
    <w:p>
      <w:pPr>
        <w:pStyle w:val="Bibliography"/>
      </w:pPr>
      <w:r>
        <w:t xml:space="preserve">• American Psychiatric Association. </w:t>
      </w:r>
      <w:r>
        <w:rPr>
          <w:i/>
        </w:rPr>
        <w:t>Diagnostic and Statistical Manual of Mental Disorders: DSM-5-TR</w:t>
      </w:r>
      <w:r>
        <w:t xml:space="preserve">. 2022. </w:t>
      </w:r>
      <w:hyperlink r:id="rId49">
        <w:r>
          <w:rPr>
            <w:color w:val="246B8E"/>
            <w:u w:val="single"/>
          </w:rPr>
          <w:t>Referencia editorial</w:t>
        </w:r>
      </w:hyperlink>
      <w:r>
        <w:t>.</w:t>
      </w:r>
    </w:p>
    <w:p>
      <w:pPr>
        <w:pStyle w:val="Bibliography"/>
      </w:pPr>
      <w:r>
        <w:t xml:space="preserve">• World Health Organization. </w:t>
      </w:r>
      <w:r>
        <w:rPr>
          <w:i/>
        </w:rPr>
        <w:t>Clinical Descriptions and Diagnostic Requirements for ICD-11 Mental, Behavioural and Neurodevelopmental Disorders</w:t>
      </w:r>
      <w:r>
        <w:t xml:space="preserve">. 2024. </w:t>
      </w:r>
      <w:hyperlink r:id="rId14">
        <w:r>
          <w:rPr>
            <w:color w:val="246B8E"/>
            <w:u w:val="single"/>
          </w:rPr>
          <w:t>Manual oficial</w:t>
        </w:r>
      </w:hyperlink>
      <w:r>
        <w:t>.</w:t>
      </w:r>
    </w:p>
    <w:p>
      <w:pPr>
        <w:pStyle w:val="Bibliography"/>
      </w:pPr>
      <w:r>
        <w:t xml:space="preserve">• National Institute for Health and Care Excellence. </w:t>
      </w:r>
      <w:r>
        <w:rPr>
          <w:i/>
        </w:rPr>
        <w:t>Bipolar disorder: assessment and management</w:t>
      </w:r>
      <w:r>
        <w:t xml:space="preserve">. Clinical guideline CG185, actualización 2025. </w:t>
      </w:r>
      <w:hyperlink r:id="rId50">
        <w:r>
          <w:rPr>
            <w:color w:val="246B8E"/>
            <w:u w:val="single"/>
          </w:rPr>
          <w:t>Recomendaciones</w:t>
        </w:r>
      </w:hyperlink>
      <w:r>
        <w:t>.</w:t>
      </w:r>
    </w:p>
    <w:p>
      <w:pPr>
        <w:pStyle w:val="Bibliography"/>
      </w:pPr>
      <w:r>
        <w:t xml:space="preserve">• Keramatian K, Chithra NK, Yatham LN. The CANMAT and ISBD Guidelines for the Treatment of Bipolar Disorder: Summary and a 2023 Update of Evidence. </w:t>
      </w:r>
      <w:r>
        <w:rPr>
          <w:i/>
        </w:rPr>
        <w:t>Focus</w:t>
      </w:r>
      <w:r>
        <w:t xml:space="preserve">. 2023;21(4):344-353. </w:t>
      </w:r>
      <w:hyperlink r:id="rId51">
        <w:r>
          <w:rPr>
            <w:color w:val="246B8E"/>
            <w:u w:val="single"/>
          </w:rPr>
          <w:t>Texto completo</w:t>
        </w:r>
      </w:hyperlink>
      <w:r>
        <w:t>.</w:t>
      </w:r>
    </w:p>
    <w:p>
      <w:pPr>
        <w:pStyle w:val="Bibliography"/>
      </w:pPr>
      <w:r>
        <w:t xml:space="preserve">• Department of Veterans Affairs &amp; Department of Defense. </w:t>
      </w:r>
      <w:r>
        <w:rPr>
          <w:i/>
        </w:rPr>
        <w:t>Clinical Practice Guideline for the Management of Bipolar Disorder</w:t>
      </w:r>
      <w:r>
        <w:t xml:space="preserve">. 2023. </w:t>
      </w:r>
      <w:hyperlink r:id="rId52">
        <w:r>
          <w:rPr>
            <w:color w:val="246B8E"/>
            <w:u w:val="single"/>
          </w:rPr>
          <w:t>Guía y materiales</w:t>
        </w:r>
      </w:hyperlink>
      <w:r>
        <w:t>.</w:t>
      </w:r>
    </w:p>
    <w:p>
      <w:r>
        <w:br w:type="page"/>
      </w:r>
    </w:p>
    <w:p>
      <w:pPr>
        <w:spacing w:after="480"/>
      </w:pPr>
      <w:r>
        <w:rPr>
          <w:rFonts w:ascii="Calibri" w:hAnsi="Calibri"/>
          <w:b/>
          <w:color w:val="2A8C82"/>
          <w:sz w:val="20"/>
        </w:rPr>
        <w:t>CAPÍTULO 17 · MATERIAL PARA ESTUDIANTES</w:t>
      </w:r>
    </w:p>
    <w:tbl>
      <w:tblPr>
        <w:tblW w:type="auto" w:w="0"/>
        <w:jc w:val="left"/>
        <w:tblLayout w:type="fixed"/>
        <w:tblLook w:firstColumn="1" w:firstRow="1" w:lastColumn="0" w:lastRow="0" w:noHBand="0" w:noVBand="1" w:val="04A0"/>
      </w:tblPr>
      <w:tblGrid>
        <w:gridCol w:w="9648"/>
      </w:tblGrid>
      <w:tr>
        <w:trPr>
          <w:tblHeader w:val="true"/>
        </w:trPr>
        <w:tc>
          <w:tcPr>
            <w:tcW w:type="dxa" w:w="9072"/>
            <w:shd w:fill="173A5E"/>
            <w:tcMar>
              <w:top w:w="120" w:type="dxa"/>
              <w:start w:w="220" w:type="dxa"/>
              <w:bottom w:w="120" w:type="dxa"/>
              <w:end w:w="220" w:type="dxa"/>
            </w:tcMar>
          </w:tcPr>
          <w:p>
            <w:pPr>
              <w:spacing w:after="0"/>
            </w:pPr>
            <w:r>
              <w:rPr>
                <w:rFonts w:ascii="Calibri" w:hAnsi="Calibri"/>
                <w:b/>
                <w:color w:val="FFFFFF"/>
                <w:sz w:val="19"/>
              </w:rPr>
              <w:t>MÓDULO II · PATOLOGÍAS, GES Y TRATAMIENTOS</w:t>
            </w:r>
          </w:p>
        </w:tc>
      </w:tr>
    </w:tbl>
    <w:p>
      <w:pPr>
        <w:pStyle w:val="Title"/>
        <w:spacing w:before="520" w:after="360"/>
        <w:outlineLvl w:val="0"/>
      </w:pPr>
      <w:bookmarkStart w:id="1017" w:name="chapter_17"/>
      <w:r>
        <w:t>Bipolaridad: diagnóstico diferencial, causas secundarias y comorbilidad</w:t>
      </w:r>
      <w:bookmarkEnd w:id="1017"/>
    </w:p>
    <w:p>
      <w:pPr>
        <w:spacing w:after="80"/>
      </w:pPr>
      <w:r>
        <w:rPr>
          <w:rFonts w:ascii="Calibri" w:hAnsi="Calibri"/>
          <w:b/>
          <w:color w:val="246B8E"/>
          <w:sz w:val="26"/>
        </w:rPr>
        <w:t>Programa de Psiquiatría para internos de Medicina</w:t>
      </w:r>
    </w:p>
    <w:p>
      <w:r>
        <w:rPr>
          <w:rFonts w:ascii="Calibri" w:hAnsi="Calibri"/>
          <w:color w:val="6B7280"/>
          <w:sz w:val="22"/>
        </w:rPr>
        <w:t>Lectura complementaria · Chile · Versión final para revisión humana · 2026</w:t>
      </w:r>
    </w:p>
    <w:p/>
    <w:p/>
    <w:p/>
    <w:p/>
    <w:p/>
    <w:tbl>
      <w:tblPr>
        <w:tblW w:type="auto" w:w="0"/>
        <w:jc w:val="left"/>
        <w:tblLayout w:type="fixed"/>
        <w:tblLook w:firstColumn="1" w:firstRow="1" w:lastColumn="0" w:lastRow="0" w:noHBand="0" w:noVBand="1" w:val="04A0"/>
      </w:tblPr>
      <w:tblGrid>
        <w:gridCol w:w="9648"/>
      </w:tblGrid>
      <w:tr>
        <w:trPr>
          <w:tblHeader w:val="true"/>
        </w:trPr>
        <w:tc>
          <w:tcPr>
            <w:tcW w:type="dxa" w:w="9648"/>
            <w:shd w:fill="F3F5F6"/>
            <w:tcBorders>
              <w:start w:val="single" w:sz="18" w:color="2A8C82"/>
            </w:tcBorders>
            <w:tcMar>
              <w:top w:w="160" w:type="dxa"/>
              <w:start w:w="220" w:type="dxa"/>
              <w:bottom w:w="160" w:type="dxa"/>
              <w:end w:w="220" w:type="dxa"/>
            </w:tcMar>
          </w:tcPr>
          <w:p>
            <w:pPr>
              <w:spacing w:after="0"/>
            </w:pPr>
            <w:r>
              <w:rPr>
                <w:rFonts w:ascii="Calibri" w:hAnsi="Calibri"/>
                <w:i/>
                <w:color w:val="6B7280"/>
                <w:sz w:val="18"/>
              </w:rPr>
              <w:t>Versión docente final para revisión humana. Material propuesto y contextualizado a Chile; no corresponde a un programa oficial de la Pontificia Universidad Católica de Chile ni sustituye protocolos locales, supervisión clínica o evaluación especializada. Fuentes revisadas al 15 de agosto de 2026.</w:t>
            </w:r>
          </w:p>
        </w:tc>
      </w:tr>
    </w:tbl>
    <w:p>
      <w:r>
        <w:br w:type="page"/>
      </w:r>
    </w:p>
    <w:tbl>
      <w:tblPr>
        <w:tblW w:type="auto" w:w="0"/>
        <w:jc w:val="center"/>
        <w:tblLayout w:type="autofit"/>
        <w:tblLook w:firstColumn="1" w:firstRow="1" w:lastColumn="0" w:lastRow="0" w:noHBand="0" w:noVBand="1" w:val="04A0"/>
      </w:tblPr>
      <w:tblGrid>
        <w:gridCol w:w="9648"/>
      </w:tblGrid>
      <w:tr>
        <w:trPr>
          <w:tblHeader w:val="true"/>
        </w:trPr>
        <w:tc>
          <w:tcPr>
            <w:tcW w:type="dxa" w:w="9648"/>
            <w:vAlign w:val="center"/>
            <w:shd w:fill="EAF3F7"/>
            <w:tcBorders>
              <w:start w:val="single" w:sz="14" w:color="2A8C82"/>
            </w:tcBorders>
            <w:tcMar>
              <w:top w:w="130" w:type="dxa"/>
              <w:start w:w="190" w:type="dxa"/>
              <w:bottom w:w="130" w:type="dxa"/>
              <w:end w:w="190" w:type="dxa"/>
            </w:tcMar>
          </w:tcPr>
          <w:p>
            <w:pPr>
              <w:spacing w:after="0"/>
            </w:pPr>
            <w:r>
              <w:rPr>
                <w:b/>
                <w:color w:val="173A5E"/>
              </w:rPr>
              <w:t xml:space="preserve">PREGUNTA CLÍNICA  </w:t>
            </w:r>
            <w:r>
              <w:t>¿Cuándo un síndrome maniforme expresa trastorno bipolar primario y cuándo exige buscar sustancias, medicamentos o enfermedad médica?</w:t>
            </w:r>
          </w:p>
        </w:tc>
      </w:tr>
    </w:tbl>
    <w:p>
      <w:pPr>
        <w:spacing w:after="0"/>
      </w:pPr>
    </w:p>
    <w:tbl>
      <w:tblPr>
        <w:tblW w:type="auto" w:w="0"/>
        <w:jc w:val="center"/>
        <w:tblLayout w:type="autofit"/>
        <w:tblLook w:firstColumn="1" w:firstRow="1" w:lastColumn="0" w:lastRow="0" w:noHBand="0" w:noVBand="1" w:val="04A0"/>
      </w:tblPr>
      <w:tblGrid>
        <w:gridCol w:w="9648"/>
      </w:tblGrid>
      <w:tr>
        <w:trPr>
          <w:tblHeader w:val="true"/>
        </w:trPr>
        <w:tc>
          <w:tcPr>
            <w:tcW w:type="dxa" w:w="9648"/>
            <w:vAlign w:val="center"/>
            <w:shd w:fill="EAF6F3"/>
            <w:tcBorders>
              <w:start w:val="single" w:sz="14" w:color="2A8C82"/>
            </w:tcBorders>
            <w:tcMar>
              <w:top w:w="130" w:type="dxa"/>
              <w:start w:w="190" w:type="dxa"/>
              <w:bottom w:w="130" w:type="dxa"/>
              <w:end w:w="190" w:type="dxa"/>
            </w:tcMar>
          </w:tcPr>
          <w:p>
            <w:pPr>
              <w:spacing w:after="0"/>
            </w:pPr>
            <w:r>
              <w:rPr>
                <w:b/>
                <w:color w:val="173A5E"/>
              </w:rPr>
              <w:t xml:space="preserve">IDEA CENTRAL  </w:t>
            </w:r>
            <w:r>
              <w:t>reconocer manía define un síndrome; explicar por qué apareció requiere temporalidad, examen físico y neurológico, estudio dirigido y seguimiento.</w:t>
            </w:r>
          </w:p>
        </w:tc>
      </w:tr>
    </w:tbl>
    <w:p>
      <w:pPr>
        <w:spacing w:after="0"/>
      </w:pPr>
    </w:p>
    <w:p>
      <w:pPr>
        <w:pStyle w:val="Heading1"/>
      </w:pPr>
      <w:r>
        <w:t>Por qué importa</w:t>
      </w:r>
    </w:p>
    <w:p>
      <w:r>
        <w:t>La misma combinación de euforia, verborrea, desinhibición y menor sueño puede aparecer en trastorno bipolar, intoxicación por estimulantes, exposición a corticoides, hipertiroidismo o una lesión frontal. Etiquetar de inmediato “bipolar I” puede omitir una urgencia médica. El extremo opuesto —pedir neuroimagen, punción lumbar y paneles autoinmunes a toda persona con manía— aumenta ruido, iatrogenia y costos.</w:t>
      </w:r>
    </w:p>
    <w:p>
      <w:r>
        <w:t>La buena evaluación separa tres preguntas: qué síndrome existe, qué gravedad tiene y cuál es su causa más probable. La respuesta etiológica puede cambiar durante el seguimiento. “Secundario” no significa falso ni menos psiquiátrico; significa que la intervención debe dirigirse también al factor causal.</w:t>
      </w:r>
    </w:p>
    <w:p>
      <w:pPr>
        <w:pStyle w:val="Heading1"/>
      </w:pPr>
      <w:r>
        <w:t>Objetivos de aprendizaje</w:t>
      </w:r>
    </w:p>
    <w:p>
      <w:pPr>
        <w:pStyle w:val="ListBullet"/>
      </w:pPr>
      <w:r>
        <w:t>Distinguir síndrome maniforme de trastorno bipolar primario.</w:t>
      </w:r>
    </w:p>
    <w:p>
      <w:pPr>
        <w:pStyle w:val="ListBullet"/>
      </w:pPr>
      <w:r>
        <w:t>Reconocer banderas rojas de una causa secundaria.</w:t>
      </w:r>
    </w:p>
    <w:p>
      <w:pPr>
        <w:pStyle w:val="ListBullet"/>
      </w:pPr>
      <w:r>
        <w:t>Reconstruir causalidad por fármacos o sustancias sin atajos toxicológicos.</w:t>
      </w:r>
    </w:p>
    <w:p>
      <w:pPr>
        <w:pStyle w:val="ListBullet"/>
      </w:pPr>
      <w:r>
        <w:t>Seleccionar un estudio médico proporcional a la hipótesis.</w:t>
      </w:r>
    </w:p>
    <w:p>
      <w:pPr>
        <w:pStyle w:val="ListBullet"/>
      </w:pPr>
      <w:r>
        <w:t>Diferenciar bipolaridad de delirium, TDAH, TLP y psicosis primaria.</w:t>
      </w:r>
    </w:p>
    <w:p>
      <w:pPr>
        <w:pStyle w:val="ListBullet"/>
      </w:pPr>
      <w:r>
        <w:t>Identificar comorbilidades que modifican riesgo y tratamiento.</w:t>
      </w:r>
    </w:p>
    <w:p>
      <w:pPr>
        <w:pStyle w:val="Heading1"/>
      </w:pPr>
      <w:r>
        <w:t>Caso clínico</w:t>
      </w:r>
    </w:p>
    <w:p>
      <w:pPr>
        <w:shd w:fill="EAF3F7"/>
        <w:keepNext/>
        <w:keepLines/>
        <w:pBdr>
          <w:left w:val="single" w:sz="8" w:space="8" w:color="246B8E"/>
        </w:pBdr>
        <w:ind w:left="173" w:right="86"/>
      </w:pPr>
      <w:r>
        <w:t>Rodrigo, de 57 años, sin antecedentes afectivos personales ni familiares, desarrolla en diez días euforia, verborrea, conducta sexual desinhibida y gastos impulsivos. Tres semanas antes inició dexametasona por una enfermedad inflamatoria. Refiere cefalea nueva y en el examen presenta discreta asimetría facial. Su familia solicita “tratamiento para la bipolaridad”.</w:t>
      </w:r>
    </w:p>
    <w:p>
      <w:pPr>
        <w:shd w:fill="EAF3F7"/>
        <w:keepLines/>
        <w:pBdr>
          <w:left w:val="single" w:sz="8" w:space="8" w:color="246B8E"/>
        </w:pBdr>
        <w:ind w:left="173" w:right="86"/>
      </w:pPr>
      <w:r>
        <w:t>Rodrigo tiene un síndrome maniforme grave, pero el inicio tardío, la exposición a corticoides, la cefalea y la focalidad cambian el problema. Necesita evaluación hospitalaria y neurológica, estudio dirigido y manejo sintomático. Asignar de inmediato un trastorno bipolar primario sería cómodo; no sería buena medicina.</w:t>
      </w:r>
    </w:p>
    <w:p>
      <w:pPr>
        <w:pStyle w:val="Heading1"/>
      </w:pPr>
      <w:r>
        <w:t>Banderas rojas de manía secundaria</w:t>
      </w:r>
    </w:p>
    <w:p>
      <w:r>
        <w:t>Un primer episodio en mediana edad o vejez merece mayor escrutinio, aunque la edad no excluye bipolaridad primaria. Aumentan la sospecha de causa secundaria el comienzo muy abrupto, ausencia completa de trayectoria o carga familiar, alteración de conciencia, inatención, fluctuación, focalidad, convulsiones, cefalea nueva, trauma, deterioro cognitivo y síntomas autonómicos o endocrinos.</w:t>
      </w:r>
    </w:p>
    <w:p>
      <w:r>
        <w:t>También orientan una relación temporal estrecha con un medicamento, sustancia, abstinencia o enfermedad; recuperación incompleta; progresión continua; o episodios demasiado breves y desorganizados para la estructura afectiva habitual. Estas señales no entregan etiología: justifican ampliar el examen y modificar el nivel de atención.</w:t>
      </w:r>
    </w:p>
    <w:p>
      <w:r>
        <w:t>Delirium hiperactivo es un imitador crítico. La atención fluctuante, el cambio del nivel de conciencia y el curso agudo global pesan más que la agitación o el insomnio. Una persona puede tener delirium y síntomas afectivos; llamarlo “manía orgánica” puede retrasar el tratamiento causal.</w:t>
      </w:r>
    </w:p>
    <w:p>
      <w:r>
        <w:t>El delirium también puede ser hipoactivo, con retraimiento, lentitud, somnolencia y menor ingesta, y por eso pasa inadvertido. Ante cambios de horas o días se obtiene una línea basal de la familia, se revisan atención y fluctuación y se busca de inmediato una causa o combinación de causas. En hospital o cuidados de larga estadía, NICE recomienda 4AT cuando existen indicadores; en unidades críticas o recuperación anestésica se prefieren CAM-ICU o ICDSC. Estas herramientas apoyan la detección y no reemplazan el diagnóstico clínico.</w:t>
      </w:r>
    </w:p>
    <w:p>
      <w:pPr>
        <w:pStyle w:val="Heading1"/>
      </w:pPr>
      <w:r>
        <w:t>Sustancias y medicamentos</w:t>
      </w:r>
    </w:p>
    <w:p>
      <w:r>
        <w:t>Cocaína, metanfetamina y otros estimulantes producen activación, paranoia, irritabilidad y privación de sueño. Cannabis puede precipitar o agravar síntomas, pero un toxicológico positivo no demuestra que explique todo el episodio. Se reconstruyen sustancia, cantidad, frecuencia, última exposición, policonsumo y persistencia después del período esperado de intoxicación.</w:t>
      </w:r>
    </w:p>
    <w:p>
      <w:r>
        <w:t>Los corticoides sistémicos pueden asociarse con manía, depresión, psicosis o delirium. El riesgo aumenta con dosis, pero no existe una frontera infalible y puede ocurrir sin antecedente psiquiátrico. La conducta se coordina con el equipo que indicó el fármaco: suspenderlo bruscamente también puede ser peligroso.</w:t>
      </w:r>
    </w:p>
    <w:p>
      <w:r>
        <w:t>Antidepresivos pueden producir inquietud inicial, insomnio, acatisia o un viraje sindromático. Para atribuir manía se necesita una constelación completa, no sólo “más energía”. Dopaminérgicos, hormonas tiroideas en exceso, descongestionantes y otros agentes deben considerarse según exposición. La abstinencia de alcohol o sedantes puede producir agitación, insomnio, convulsiones y alteraciones perceptivas que requieren un manejo diferente.</w:t>
      </w:r>
    </w:p>
    <w:p>
      <w:pPr>
        <w:pStyle w:val="Heading1"/>
      </w:pPr>
      <w:r>
        <w:t>Causas médicas y neurológicas</w:t>
      </w:r>
    </w:p>
    <w:p>
      <w:r>
        <w:t>Entre las causas endocrinas se encuentran hipertiroidismo y síndrome de Cushing. Las neurológicas incluyen lesión vascular o tumoral frontal, epilepsia, traumatismo, esclerosis múltiple y enfermedades neurodegenerativas. Infección, VIH, neurosífilis, encefalitis autoinmune y otros procesos se estudian cuando la historia, el examen o la epidemiología sostienen esa posibilidad. Progresión rápida con convulsiones, catatonía, movimientos anormales, disautonomía o deterioro de conciencia aumenta la sospecha de encefalitis y obliga a coordinación médica urgente; “panel autoinmune” sin ese fenotipo produce más ruido que certeza.</w:t>
      </w:r>
    </w:p>
    <w:p>
      <w:r>
        <w:t>La demencia frontotemporal puede comenzar con desinhibición, pérdida de empatía, cambios alimentarios y conducta social inapropiada. Su curso progresivo y el perfil ejecutivo-conductual difieren de un episodio con recuperación. Catatonía, estatus no convulsivo y síndromes tóxicos también deben reconocerse cuando la motricidad, la conciencia o la autonomía no encajan.</w:t>
      </w:r>
    </w:p>
    <w:p>
      <w:r>
        <w:t>Encontrar una alteración no implica causalidad. Una TSH discretamente anormal o una imagen incidental no explica automáticamente un síndrome. Debe existir coherencia temporal, fisiopatológica y clínica, y la evolución tras tratar el factor aporta evidencia adicional.</w:t>
      </w:r>
    </w:p>
    <w:p>
      <w:pPr>
        <w:pStyle w:val="Heading1"/>
      </w:pPr>
      <w:r>
        <w:t>Diferenciales psiquiátricos</w:t>
      </w:r>
    </w:p>
    <w:p>
      <w:r>
        <w:t>En TDAH adulto, distractibilidad, inquietud e impulsividad se remontan a la infancia y son transituacionales. Una disminución episódica de sueño sin fatiga, grandiosidad y aumento anormal de actividad orientan bipolaridad. En trastorno límite de la personalidad, el patrón es persistente y la afectividad suele ser reactiva a acontecimientos interpersonales; no obstante, ambos diagnósticos pueden coexistir.</w:t>
      </w:r>
    </w:p>
    <w:p>
      <w:r>
        <w:t>Esquizofrenia con agitación no equivale a manía: la actividad puede ser desorganizada sin aumento afectivo dirigido a objetivos. El diagnóstico esquizoafectivo exige demostrar psicosis relevante fuera de episodios del ánimo y una relación longitudinal compatible; no se decide en una entrevista transversal. Personalidad hipertímica o narcisista describe rasgos estables, no un quiebre episódico.</w:t>
      </w:r>
    </w:p>
    <w:p>
      <w:pPr>
        <w:pStyle w:val="Heading1"/>
      </w:pPr>
      <w:r>
        <w:t>Diagnóstico provisional y prueba del tiempo</w:t>
      </w:r>
    </w:p>
    <w:p>
      <w:r>
        <w:t>En el primer contacto puede ser más honesto documentar “síndrome maniforme en estudio” que cerrar una etiología. Esa formulación no impide tratar: separa lo que ya está demostrado —fenomenología y gravedad— de lo que aún necesita seguimiento. En la ficha se explicitan las hipótesis principales, los datos que las apoyan y qué hallazgos obligarían a revisarlas.</w:t>
      </w:r>
    </w:p>
    <w:p>
      <w:r>
        <w:t>La evolución después de retirar un agente, corregir una alteración médica o recuperar el sueño aporta información, pero tampoco actúa como experimento perfecto. Un corticoide puede precipitar el primer episodio de una vulnerabilidad bipolar y varias causas pueden coexistir. La atribución final debe tolerar esa complejidad sin convertir “multifactorial” en una excusa para no priorizar.</w:t>
      </w:r>
    </w:p>
    <w:p>
      <w:pPr>
        <w:pStyle w:val="Heading1"/>
      </w:pPr>
      <w:r>
        <w:t>Estudio inicial razonado</w:t>
      </w:r>
    </w:p>
    <w:p>
      <w:r>
        <w:t>La evaluación comienza con signos vitales, glicemia, hidratación y examen físico y neurológico. Se revisan medicamentos, suplementos y sustancias. Hemograma, electrolitos, función renal y hepática, TSH y prueba de embarazo cuando corresponda suelen ser útiles por el diferencial o por el tratamiento proyectado. El toxicológico se solicita si puede modificar la conducta y se interpreta según ventana de detección.</w:t>
      </w:r>
    </w:p>
    <w:p>
      <w:r>
        <w:t>ECG depende de edad, antecedentes, hallazgos y fármacos previstos. Neuroimagen está indicada ante focalidad, cefalea nueva, trauma, convulsiones, deterioro cognitivo, curso atípico o primer episodio tardío relevante. EEG, punción lumbar, estudios infecciosos y autoinmunidad requieren una hipótesis sustentada. Ninguna batería debe retrasar estabilización urgente.</w:t>
      </w:r>
    </w:p>
    <w:p>
      <w:pPr>
        <w:pStyle w:val="Heading1"/>
      </w:pPr>
      <w:r>
        <w:t>Comorbilidad que cambia el plan</w:t>
      </w:r>
    </w:p>
    <w:p>
      <w:r>
        <w:t>Consumo de sustancias, ansiedad, trauma, TDAH, TLP y trastornos alimentarios modifican recurrencia, adherencia y riesgo suicida. Obesidad, diabetes, enfermedad cardiovascular, renal o tiroidea condicionan la elección farmacológica. Deben pesquisarse migraña, dolor, apnea obstructiva del sueño y embarazo o planes reproductivos.</w:t>
      </w:r>
    </w:p>
    <w:p>
      <w:r>
        <w:t>La comorbilidad no se “deja para después”. Un estimulante o antidepresivo indicado sin formular bipolaridad puede desestabilizar; ignorar TDAH, ansiedad o consumo también perpetúa discapacidad. Se priorizan riesgo y fase afectiva, y luego se integra el tratamiento en vez de superponer recetas aisladas.</w:t>
      </w:r>
    </w:p>
    <w:p>
      <w:pPr>
        <w:pStyle w:val="Heading1"/>
      </w:pPr>
      <w:r>
        <w:t>Errores frecuentes</w:t>
      </w:r>
    </w:p>
    <w:p>
      <w:pPr>
        <w:pStyle w:val="ListBullet"/>
      </w:pPr>
      <w:r>
        <w:t>Convertir toda desinhibición en trastorno bipolar.</w:t>
      </w:r>
    </w:p>
    <w:p>
      <w:pPr>
        <w:pStyle w:val="ListBullet"/>
      </w:pPr>
      <w:r>
        <w:t>Llamar primaria a una primera manía tardía sin examen dirigido.</w:t>
      </w:r>
    </w:p>
    <w:p>
      <w:pPr>
        <w:pStyle w:val="ListBullet"/>
      </w:pPr>
      <w:r>
        <w:t>Atribuir causalidad sólo porque el toxicológico fue positivo.</w:t>
      </w:r>
    </w:p>
    <w:p>
      <w:pPr>
        <w:pStyle w:val="ListBullet"/>
      </w:pPr>
      <w:r>
        <w:t>Confundir delirium hiperactivo con manía.</w:t>
      </w:r>
    </w:p>
    <w:p>
      <w:pPr>
        <w:pStyle w:val="ListBullet"/>
      </w:pPr>
      <w:r>
        <w:t>Solicitar neuroimagen o autoinmunidad de manera universal.</w:t>
      </w:r>
    </w:p>
    <w:p>
      <w:pPr>
        <w:pStyle w:val="ListBullet"/>
      </w:pPr>
      <w:r>
        <w:t>Tratar una alteración incidental como explicación definitiva.</w:t>
      </w:r>
    </w:p>
    <w:p>
      <w:pPr>
        <w:pStyle w:val="ListBullet"/>
      </w:pPr>
      <w:r>
        <w:t>Suponer que TLP, TDAH y bipolaridad son mutuamente excluyentes.</w:t>
      </w:r>
    </w:p>
    <w:p>
      <w:pPr>
        <w:pStyle w:val="Heading1"/>
      </w:pPr>
      <w:r>
        <w:t>Para recordar</w:t>
      </w:r>
    </w:p>
    <w:p>
      <w:pPr>
        <w:spacing w:after="60" w:line="288" w:lineRule="auto"/>
        <w:ind w:left="432" w:hanging="216"/>
        <w:shd w:fill="EAF6F3"/>
        <w:keepNext/>
        <w:keepLines/>
        <w:pBdr>
          <w:left w:val="single" w:sz="8" w:space="8" w:color="2A8C82"/>
        </w:pBdr>
      </w:pPr>
      <w:r>
        <w:t>1. Manía describe un síndrome; bipolaridad describe una trayectoria.</w:t>
      </w:r>
    </w:p>
    <w:p>
      <w:pPr>
        <w:spacing w:after="60" w:line="288" w:lineRule="auto"/>
        <w:ind w:left="432" w:hanging="216"/>
        <w:shd w:fill="EAF6F3"/>
        <w:keepNext/>
        <w:keepLines/>
        <w:pBdr>
          <w:left w:val="single" w:sz="8" w:space="8" w:color="2A8C82"/>
        </w:pBdr>
      </w:pPr>
      <w:r>
        <w:t>2. Inicio tardío, focalidad y alteración de conciencia amplían el estudio.</w:t>
      </w:r>
    </w:p>
    <w:p>
      <w:pPr>
        <w:spacing w:after="60" w:line="288" w:lineRule="auto"/>
        <w:ind w:left="432" w:hanging="216"/>
        <w:shd w:fill="EAF6F3"/>
        <w:keepNext/>
        <w:keepLines/>
        <w:pBdr>
          <w:left w:val="single" w:sz="8" w:space="8" w:color="2A8C82"/>
        </w:pBdr>
      </w:pPr>
      <w:r>
        <w:t>3. La causalidad por sustancias exige temporalidad y seguimiento.</w:t>
      </w:r>
    </w:p>
    <w:p>
      <w:pPr>
        <w:spacing w:after="60" w:line="288" w:lineRule="auto"/>
        <w:ind w:left="432" w:hanging="216"/>
        <w:shd w:fill="EAF6F3"/>
        <w:keepNext/>
        <w:keepLines/>
        <w:pBdr>
          <w:left w:val="single" w:sz="8" w:space="8" w:color="2A8C82"/>
        </w:pBdr>
      </w:pPr>
      <w:r>
        <w:t>4. El estudio debe ser dirigido, no ornamental.</w:t>
      </w:r>
    </w:p>
    <w:p>
      <w:pPr>
        <w:spacing w:after="60" w:line="288" w:lineRule="auto"/>
        <w:ind w:left="432" w:hanging="216"/>
        <w:shd w:fill="EAF6F3"/>
        <w:keepLines/>
        <w:pBdr>
          <w:left w:val="single" w:sz="8" w:space="8" w:color="2A8C82"/>
        </w:pBdr>
      </w:pPr>
      <w:r>
        <w:t>5. La comorbilidad modifica riesgo, tratamiento y pronóstico.</w:t>
      </w:r>
    </w:p>
    <w:p>
      <w:pPr>
        <w:pStyle w:val="Heading1"/>
      </w:pPr>
      <w:r>
        <w:t>Bibliografía esencial</w:t>
      </w:r>
    </w:p>
    <w:p>
      <w:pPr>
        <w:pStyle w:val="Bibliography"/>
      </w:pPr>
      <w:r>
        <w:t xml:space="preserve">• World Health Organization. </w:t>
      </w:r>
      <w:r>
        <w:rPr>
          <w:i/>
        </w:rPr>
        <w:t>Clinical Descriptions and Diagnostic Requirements for ICD-11 Mental, Behavioural and Neurodevelopmental Disorders</w:t>
      </w:r>
      <w:r>
        <w:t xml:space="preserve">. 2024. </w:t>
      </w:r>
      <w:hyperlink r:id="rId14">
        <w:r>
          <w:rPr>
            <w:color w:val="246B8E"/>
            <w:u w:val="single"/>
          </w:rPr>
          <w:t>Manual oficial</w:t>
        </w:r>
      </w:hyperlink>
      <w:r>
        <w:t>.</w:t>
      </w:r>
    </w:p>
    <w:p>
      <w:pPr>
        <w:pStyle w:val="Bibliography"/>
      </w:pPr>
      <w:r>
        <w:t xml:space="preserve">• Department of Veterans Affairs &amp; Department of Defense. </w:t>
      </w:r>
      <w:r>
        <w:rPr>
          <w:i/>
        </w:rPr>
        <w:t>Clinical Practice Guideline for the Management of Bipolar Disorder</w:t>
      </w:r>
      <w:r>
        <w:t xml:space="preserve">. 2023. </w:t>
      </w:r>
      <w:hyperlink r:id="rId52">
        <w:r>
          <w:rPr>
            <w:color w:val="246B8E"/>
            <w:u w:val="single"/>
          </w:rPr>
          <w:t>Guía y materiales</w:t>
        </w:r>
      </w:hyperlink>
      <w:r>
        <w:t>.</w:t>
      </w:r>
    </w:p>
    <w:p>
      <w:pPr>
        <w:pStyle w:val="Bibliography"/>
      </w:pPr>
      <w:r>
        <w:t xml:space="preserve">• National Institute for Health and Care Excellence. </w:t>
      </w:r>
      <w:r>
        <w:rPr>
          <w:i/>
        </w:rPr>
        <w:t>Bipolar disorder: assessment and management</w:t>
      </w:r>
      <w:r>
        <w:t xml:space="preserve">. Clinical guideline CG185, actualización 2025. </w:t>
      </w:r>
      <w:hyperlink r:id="rId50">
        <w:r>
          <w:rPr>
            <w:color w:val="246B8E"/>
            <w:u w:val="single"/>
          </w:rPr>
          <w:t>Recomendaciones</w:t>
        </w:r>
      </w:hyperlink>
      <w:r>
        <w:t>.</w:t>
      </w:r>
    </w:p>
    <w:p>
      <w:pPr>
        <w:pStyle w:val="Bibliography"/>
      </w:pPr>
      <w:r>
        <w:t xml:space="preserve">• Keramatian K, Chithra NK, Yatham LN. The CANMAT and ISBD Guidelines for the Treatment of Bipolar Disorder: Summary and a 2023 Update of Evidence. </w:t>
      </w:r>
      <w:r>
        <w:rPr>
          <w:i/>
        </w:rPr>
        <w:t>Focus</w:t>
      </w:r>
      <w:r>
        <w:t xml:space="preserve">. 2023;21(4):344-353. </w:t>
      </w:r>
      <w:hyperlink r:id="rId51">
        <w:r>
          <w:rPr>
            <w:color w:val="246B8E"/>
            <w:u w:val="single"/>
          </w:rPr>
          <w:t>Texto completo</w:t>
        </w:r>
      </w:hyperlink>
      <w:r>
        <w:t>.</w:t>
      </w:r>
    </w:p>
    <w:p>
      <w:pPr>
        <w:pStyle w:val="Bibliography"/>
      </w:pPr>
      <w:r>
        <w:t xml:space="preserve">• National Institute for Health and Care Excellence. </w:t>
      </w:r>
      <w:r>
        <w:rPr>
          <w:i/>
        </w:rPr>
        <w:t>Delirium: prevention, diagnosis and management in hospital and long-term care</w:t>
      </w:r>
      <w:r>
        <w:t xml:space="preserve">. Clinical guideline CG103, actualización 2023. </w:t>
      </w:r>
      <w:hyperlink r:id="rId53">
        <w:r>
          <w:rPr>
            <w:color w:val="246B8E"/>
            <w:u w:val="single"/>
          </w:rPr>
          <w:t>Recomendaciones</w:t>
        </w:r>
      </w:hyperlink>
      <w:r>
        <w:t>.</w:t>
      </w:r>
    </w:p>
    <w:p>
      <w:pPr>
        <w:pStyle w:val="Bibliography"/>
      </w:pPr>
      <w:r>
        <w:t xml:space="preserve">• Pollak TA, Lennox BR, Müller S, et al. Autoimmune psychosis: an international consensus on an approach to the diagnosis and management of psychosis of suspected autoimmune origin. </w:t>
      </w:r>
      <w:r>
        <w:rPr>
          <w:i/>
        </w:rPr>
        <w:t>Lancet Psychiatry</w:t>
      </w:r>
      <w:r>
        <w:t xml:space="preserve">. 2020;7(1):93-108. </w:t>
      </w:r>
      <w:hyperlink r:id="rId23">
        <w:r>
          <w:rPr>
            <w:color w:val="246B8E"/>
            <w:u w:val="single"/>
          </w:rPr>
          <w:t>Artículo</w:t>
        </w:r>
      </w:hyperlink>
      <w:r>
        <w:t>.</w:t>
      </w:r>
    </w:p>
    <w:p>
      <w:r>
        <w:br w:type="page"/>
      </w:r>
    </w:p>
    <w:p>
      <w:pPr>
        <w:spacing w:after="480"/>
      </w:pPr>
      <w:r>
        <w:rPr>
          <w:rFonts w:ascii="Calibri" w:hAnsi="Calibri"/>
          <w:b/>
          <w:color w:val="2A8C82"/>
          <w:sz w:val="20"/>
        </w:rPr>
        <w:t>CAPÍTULO 18 · MATERIAL PARA ESTUDIANTES</w:t>
      </w:r>
    </w:p>
    <w:tbl>
      <w:tblPr>
        <w:tblW w:type="auto" w:w="0"/>
        <w:jc w:val="left"/>
        <w:tblLayout w:type="fixed"/>
        <w:tblLook w:firstColumn="1" w:firstRow="1" w:lastColumn="0" w:lastRow="0" w:noHBand="0" w:noVBand="1" w:val="04A0"/>
      </w:tblPr>
      <w:tblGrid>
        <w:gridCol w:w="9648"/>
      </w:tblGrid>
      <w:tr>
        <w:trPr>
          <w:tblHeader w:val="true"/>
        </w:trPr>
        <w:tc>
          <w:tcPr>
            <w:tcW w:type="dxa" w:w="9072"/>
            <w:shd w:fill="173A5E"/>
            <w:tcMar>
              <w:top w:w="120" w:type="dxa"/>
              <w:start w:w="220" w:type="dxa"/>
              <w:bottom w:w="120" w:type="dxa"/>
              <w:end w:w="220" w:type="dxa"/>
            </w:tcMar>
          </w:tcPr>
          <w:p>
            <w:pPr>
              <w:spacing w:after="0"/>
            </w:pPr>
            <w:r>
              <w:rPr>
                <w:rFonts w:ascii="Calibri" w:hAnsi="Calibri"/>
                <w:b/>
                <w:color w:val="FFFFFF"/>
                <w:sz w:val="19"/>
              </w:rPr>
              <w:t>MÓDULO II · PATOLOGÍAS, GES Y TRATAMIENTOS</w:t>
            </w:r>
          </w:p>
        </w:tc>
      </w:tr>
    </w:tbl>
    <w:p>
      <w:pPr>
        <w:pStyle w:val="Title"/>
        <w:spacing w:before="520" w:after="360"/>
        <w:outlineLvl w:val="0"/>
      </w:pPr>
      <w:bookmarkStart w:id="1018" w:name="chapter_18"/>
      <w:r>
        <w:t>Manía y episodios con características mixtas: manejo agudo</w:t>
      </w:r>
      <w:bookmarkEnd w:id="1018"/>
    </w:p>
    <w:p>
      <w:pPr>
        <w:spacing w:after="80"/>
      </w:pPr>
      <w:r>
        <w:rPr>
          <w:rFonts w:ascii="Calibri" w:hAnsi="Calibri"/>
          <w:b/>
          <w:color w:val="246B8E"/>
          <w:sz w:val="26"/>
        </w:rPr>
        <w:t>Programa de Psiquiatría para internos de Medicina</w:t>
      </w:r>
    </w:p>
    <w:p>
      <w:r>
        <w:rPr>
          <w:rFonts w:ascii="Calibri" w:hAnsi="Calibri"/>
          <w:color w:val="6B7280"/>
          <w:sz w:val="22"/>
        </w:rPr>
        <w:t>Lectura complementaria · Chile · Versión final para revisión humana · 2026</w:t>
      </w:r>
    </w:p>
    <w:p/>
    <w:p/>
    <w:p/>
    <w:p/>
    <w:p/>
    <w:tbl>
      <w:tblPr>
        <w:tblW w:type="auto" w:w="0"/>
        <w:jc w:val="left"/>
        <w:tblLayout w:type="fixed"/>
        <w:tblLook w:firstColumn="1" w:firstRow="1" w:lastColumn="0" w:lastRow="0" w:noHBand="0" w:noVBand="1" w:val="04A0"/>
      </w:tblPr>
      <w:tblGrid>
        <w:gridCol w:w="9648"/>
      </w:tblGrid>
      <w:tr>
        <w:trPr>
          <w:tblHeader w:val="true"/>
        </w:trPr>
        <w:tc>
          <w:tcPr>
            <w:tcW w:type="dxa" w:w="9648"/>
            <w:shd w:fill="F3F5F6"/>
            <w:tcBorders>
              <w:start w:val="single" w:sz="18" w:color="2A8C82"/>
            </w:tcBorders>
            <w:tcMar>
              <w:top w:w="160" w:type="dxa"/>
              <w:start w:w="220" w:type="dxa"/>
              <w:bottom w:w="160" w:type="dxa"/>
              <w:end w:w="220" w:type="dxa"/>
            </w:tcMar>
          </w:tcPr>
          <w:p>
            <w:pPr>
              <w:spacing w:after="0"/>
            </w:pPr>
            <w:r>
              <w:rPr>
                <w:rFonts w:ascii="Calibri" w:hAnsi="Calibri"/>
                <w:i/>
                <w:color w:val="6B7280"/>
                <w:sz w:val="18"/>
              </w:rPr>
              <w:t>Versión docente final para revisión humana. Material propuesto y contextualizado a Chile; no corresponde a un programa oficial de la Pontificia Universidad Católica de Chile ni sustituye protocolos locales, supervisión clínica o evaluación especializada. Fuentes revisadas al 15 de agosto de 2026.</w:t>
            </w:r>
          </w:p>
        </w:tc>
      </w:tr>
    </w:tbl>
    <w:p>
      <w:r>
        <w:br w:type="page"/>
      </w:r>
    </w:p>
    <w:tbl>
      <w:tblPr>
        <w:tblW w:type="auto" w:w="0"/>
        <w:jc w:val="center"/>
        <w:tblLayout w:type="autofit"/>
        <w:tblLook w:firstColumn="1" w:firstRow="1" w:lastColumn="0" w:lastRow="0" w:noHBand="0" w:noVBand="1" w:val="04A0"/>
      </w:tblPr>
      <w:tblGrid>
        <w:gridCol w:w="9648"/>
      </w:tblGrid>
      <w:tr>
        <w:trPr>
          <w:tblHeader w:val="true"/>
        </w:trPr>
        <w:tc>
          <w:tcPr>
            <w:tcW w:type="dxa" w:w="9648"/>
            <w:vAlign w:val="center"/>
            <w:shd w:fill="EAF3F7"/>
            <w:tcBorders>
              <w:start w:val="single" w:sz="14" w:color="2A8C82"/>
            </w:tcBorders>
            <w:tcMar>
              <w:top w:w="130" w:type="dxa"/>
              <w:start w:w="190" w:type="dxa"/>
              <w:bottom w:w="130" w:type="dxa"/>
              <w:end w:w="190" w:type="dxa"/>
            </w:tcMar>
          </w:tcPr>
          <w:p>
            <w:pPr>
              <w:spacing w:after="0"/>
            </w:pPr>
            <w:r>
              <w:rPr>
                <w:b/>
                <w:color w:val="173A5E"/>
              </w:rPr>
              <w:t xml:space="preserve">PREGUNTA CLÍNICA  </w:t>
            </w:r>
            <w:r>
              <w:t>¿Cómo estabilizar una manía o un episodio mixto sin omitir causas secundarias, seguridad médica ni derechos?</w:t>
            </w:r>
          </w:p>
        </w:tc>
      </w:tr>
    </w:tbl>
    <w:p>
      <w:pPr>
        <w:spacing w:after="0"/>
      </w:pPr>
    </w:p>
    <w:tbl>
      <w:tblPr>
        <w:tblW w:type="auto" w:w="0"/>
        <w:jc w:val="center"/>
        <w:tblLayout w:type="autofit"/>
        <w:tblLook w:firstColumn="1" w:firstRow="1" w:lastColumn="0" w:lastRow="0" w:noHBand="0" w:noVBand="1" w:val="04A0"/>
      </w:tblPr>
      <w:tblGrid>
        <w:gridCol w:w="9648"/>
      </w:tblGrid>
      <w:tr>
        <w:trPr>
          <w:tblHeader w:val="true"/>
        </w:trPr>
        <w:tc>
          <w:tcPr>
            <w:tcW w:type="dxa" w:w="9648"/>
            <w:vAlign w:val="center"/>
            <w:shd w:fill="EAF6F3"/>
            <w:tcBorders>
              <w:start w:val="single" w:sz="14" w:color="2A8C82"/>
            </w:tcBorders>
            <w:tcMar>
              <w:top w:w="130" w:type="dxa"/>
              <w:start w:w="190" w:type="dxa"/>
              <w:bottom w:w="130" w:type="dxa"/>
              <w:end w:w="190" w:type="dxa"/>
            </w:tcMar>
          </w:tcPr>
          <w:p>
            <w:pPr>
              <w:spacing w:after="0"/>
            </w:pPr>
            <w:r>
              <w:rPr>
                <w:b/>
                <w:color w:val="173A5E"/>
              </w:rPr>
              <w:t xml:space="preserve">IDEA CENTRAL  </w:t>
            </w:r>
            <w:r>
              <w:t>en manía aguda primero se decide gravedad, destino y protección; la elección farmacológica viene después y debe responder al perfil clínico, no a una receta refleja.</w:t>
            </w:r>
          </w:p>
        </w:tc>
      </w:tr>
    </w:tbl>
    <w:p>
      <w:pPr>
        <w:spacing w:after="0"/>
      </w:pPr>
    </w:p>
    <w:p>
      <w:pPr>
        <w:pStyle w:val="Heading1"/>
      </w:pPr>
      <w:r>
        <w:t>Por qué importa</w:t>
      </w:r>
    </w:p>
    <w:p>
      <w:r>
        <w:t>La euforia puede hacer parecer benigno un episodio que destruye juicio, sueño, patrimonio y capacidad de autocuidado. La persona puede negar sufrimiento y, al mismo tiempo, conducir a alta velocidad, exponerse sexualmente, regalar dinero o seguir órdenes delirantes. En presentaciones mixtas, desesperanza y energía coexisten, aumentando la capacidad de actuar sobre impulsos suicidas.</w:t>
      </w:r>
    </w:p>
    <w:p>
      <w:r>
        <w:t>El manejo agudo fracasa cuando se reduce a “sedar”: dormir una noche no equivale a remisión. También fracasa cuando se discuten esquemas farmacológicos antes de descartar delirium, intoxicación, trauma o embarazo. El interno debe organizar prioridades, reconocer perfiles de fármacos y saber cuándo el cuadro supera el manejo ambulatorio.</w:t>
      </w:r>
    </w:p>
    <w:p>
      <w:pPr>
        <w:pStyle w:val="Heading1"/>
      </w:pPr>
      <w:r>
        <w:t>Objetivos de aprendizaje</w:t>
      </w:r>
    </w:p>
    <w:p>
      <w:pPr>
        <w:pStyle w:val="ListBullet"/>
      </w:pPr>
      <w:r>
        <w:t>Clasificar gravedad y seleccionar nivel de atención.</w:t>
      </w:r>
    </w:p>
    <w:p>
      <w:pPr>
        <w:pStyle w:val="ListBullet"/>
      </w:pPr>
      <w:r>
        <w:t>Reconocer manía psicótica, agitación y características mixtas de alto riesgo.</w:t>
      </w:r>
    </w:p>
    <w:p>
      <w:pPr>
        <w:pStyle w:val="ListBullet"/>
      </w:pPr>
      <w:r>
        <w:t>Iniciar medidas ambientales y médicas de estabilización.</w:t>
      </w:r>
    </w:p>
    <w:p>
      <w:pPr>
        <w:pStyle w:val="ListBullet"/>
      </w:pPr>
      <w:r>
        <w:t>Comprender la elección entre antipsicóticos, litio y valproato.</w:t>
      </w:r>
    </w:p>
    <w:p>
      <w:pPr>
        <w:pStyle w:val="ListBullet"/>
      </w:pPr>
      <w:r>
        <w:t>Solicitar monitorización basal sin retrasar una intervención urgente.</w:t>
      </w:r>
    </w:p>
    <w:p>
      <w:pPr>
        <w:pStyle w:val="ListBullet"/>
      </w:pPr>
      <w:r>
        <w:t>Aplicar criterios clínicos y legales generales de hospitalización.</w:t>
      </w:r>
    </w:p>
    <w:p>
      <w:pPr>
        <w:pStyle w:val="ListBullet"/>
      </w:pPr>
      <w:r>
        <w:t>Explicar correctamente la garantía aguda del GES 75.</w:t>
      </w:r>
    </w:p>
    <w:p>
      <w:pPr>
        <w:pStyle w:val="Heading1"/>
      </w:pPr>
      <w:r>
        <w:t>Caso clínico</w:t>
      </w:r>
    </w:p>
    <w:p>
      <w:pPr>
        <w:shd w:fill="EAF3F7"/>
        <w:keepNext/>
        <w:keepLines/>
        <w:pBdr>
          <w:left w:val="single" w:sz="8" w:space="8" w:color="246B8E"/>
        </w:pBdr>
        <w:ind w:left="173" w:right="86"/>
      </w:pPr>
      <w:r>
        <w:t>Camilo, de 24 años, lleva ocho días durmiendo menos de dos horas sin cansancio. Conduce a alta velocidad, entrega dinero en la calle y afirma recibir instrucciones divinas. Llega irritable, intenta abandonar urgencia y su madre informa que dejó de comer. Niega ideas suicidas y sostiene que hospitalizarlo sería impedir una misión.</w:t>
      </w:r>
    </w:p>
    <w:p>
      <w:pPr>
        <w:shd w:fill="EAF3F7"/>
        <w:keepLines/>
        <w:pBdr>
          <w:left w:val="single" w:sz="8" w:space="8" w:color="246B8E"/>
        </w:pBdr>
        <w:ind w:left="173" w:right="86"/>
      </w:pPr>
      <w:r>
        <w:t>La primera decisión no es qué estabilizador escoger. Camilo tiene psicosis, juicio gravemente alterado, exposición conductual, deterioro del autocuidado y escasa capacidad para colaborar con un plan seguro. Requiere evaluación médica, ambiente protegido, información colateral y tratamiento hospitalario. La voluntariedad debe favorecerse, pero si se cumplen los requisitos legales puede ser necesaria una hospitalización involuntaria.</w:t>
      </w:r>
    </w:p>
    <w:p>
      <w:pPr>
        <w:pStyle w:val="Heading1"/>
      </w:pPr>
      <w:r>
        <w:t>Evaluar la urgencia</w:t>
      </w:r>
    </w:p>
    <w:p>
      <w:r>
        <w:t>Se comienza por vía aérea, respiración, circulación, glicemia, signos vitales, hidratación y examen físico y neurológico. Hay que considerar intoxicación, abstinencia, trauma, infección, alteración endocrina y delirium. La inatención o fluctuación de conciencia obliga a revisar el diagnóstico antes de atribuir todo a manía.</w:t>
      </w:r>
    </w:p>
    <w:p>
      <w:r>
        <w:t>La gravedad incluye psicosis, agitación, conducta suicida, violencia, conducción, exposición financiera o sexual, explotación, alimentación, ingesta de líquidos y capacidad de autocuidado. También se revisan medicamentos, sustancias, embarazo o posibilidad de embarazo, red disponible y acceso a armas, vehículos, dinero o medios letales.</w:t>
      </w:r>
    </w:p>
    <w:p>
      <w:r>
        <w:t>La ausencia de ideación suicida explícita no transforma una manía psicótica en cuadro ambulatorio. Por el contrario, una hipomanía sin riesgo ni deterioro grave puede manejarse fuera del hospital si existe diagnóstico razonable, soporte, adherencia y seguimiento precoz.</w:t>
      </w:r>
    </w:p>
    <w:p>
      <w:pPr>
        <w:pStyle w:val="Heading1"/>
      </w:pPr>
      <w:r>
        <w:t>Destino y primeras medidas</w:t>
      </w:r>
    </w:p>
    <w:p>
      <w:r>
        <w:t>Psicosis, agitación marcada, peligro, juicio gravemente alterado, fracaso ambulatorio, compromiso físico o red insuficiente justifican hospitalización o un dispositivo intensivo. La hospitalización involuntaria no se indica por el diagnóstico: requiere el umbral legal vigente, ausencia de alternativa eficaz menos restrictiva y documentación de los demás requisitos.</w:t>
      </w:r>
    </w:p>
    <w:p>
      <w:r>
        <w:t>El ambiente debe ser de baja estimulación, con comunicación breve, límites claros y un equipo coherente. Se reducen confrontaciones sobre grandiosidad o delirios y se orienta hacia decisiones inmediatas. Se restauran sueño, hidratación y alimentación. Antidepresivos, estimulantes, corticoides y sustancias potencialmente desestabilizadoras se revisan; suspender un tratamiento médico esencial sin coordinación puede ser igualmente peligroso.</w:t>
      </w:r>
    </w:p>
    <w:p>
      <w:r>
        <w:t>Las benzodiazepinas pueden usarse por períodos breves para agitación o insomnio, considerando depresión respiratoria, delirium, caídas y consumo de sedantes. No constituyen tratamiento de mantención de la manía.</w:t>
      </w:r>
    </w:p>
    <w:p>
      <w:r>
        <w:t>Si la agitación impide una evaluación segura, se intenta primero desescalamiento verbal y se ofrece vía oral cuando la situación lo permite. La medicación parenteral o una medida restrictiva no son atajos para ahorrar tiempo: exigen indicación proporcional, registro del motivo, observación de conciencia, vía aérea, respiración, presión, pulso y efectos adversos, además de reevaluación frecuente y suspensión apenas deje de ser necesaria. El detalle operativo debe seguir el protocolo institucional y el reglamento chileno vigente.</w:t>
      </w:r>
    </w:p>
    <w:p>
      <w:pPr>
        <w:pStyle w:val="Heading1"/>
      </w:pPr>
      <w:r>
        <w:t>Farmacoterapia aguda: pensar por perfiles</w:t>
      </w:r>
    </w:p>
    <w:p>
      <w:r>
        <w:t>Los antipsicóticos son opciones centrales por su rapidez y utilidad frente a psicosis y agitación. La elección considera respuesta previa, vía posible y perfiles metabólico, extrapiramidal, cardiovascular, sedativo y de prolactina. La combinación de dos antipsicóticos debe reservarse a situaciones justificadas —por ejemplo, una transición breve— y no transformarse en polifarmacia automática.</w:t>
      </w:r>
    </w:p>
    <w:p>
      <w:r>
        <w:t>Si la persona ya usa litio o valproato, antes de concluir que “fracasó” se comprueban toma real, interacciones y, cuando sean interpretables, niveles plasmáticos; luego se optimiza o añade tratamiento según gravedad. Si aparece manía o hipomanía mientras recibe un antidepresivo, debe considerarse su suspensión, evitando cambios bruscos que añadan retirada cuando el contexto permita una reducción planificada.</w:t>
      </w:r>
    </w:p>
    <w:p>
      <w:r>
        <w:t>En manía moderada o grave suele utilizarse un antipsicótico y, según severidad y antecedentes, litio o valproato. La combinación puede producir una respuesta más rápida a costa de más efectos adversos. Lamotrigina no trata manía aguda. La dosis inicial se adapta a edad, comorbilidad, exposición previa y urgencia; “máxima dosis” no equivale a máxima eficacia.</w:t>
      </w:r>
    </w:p>
    <w:p>
      <w:r>
        <w:t>Litio es especialmente atractivo cuando existe buena respuesta previa, trayectoria clásica y necesidad preventiva, pero su inicio requiere función renal, tiroidea y electrolitos, además de capacidad para monitorización. Deshidratación, enfermedad renal e interacciones aumentan riesgo. No es la opción más rápida para controlar por sí sola una agitación peligrosa.</w:t>
      </w:r>
    </w:p>
    <w:p>
      <w:r>
        <w:t>Valproato puede ser útil en manía y características mixtas, pero exige función hepática, hemograma y evaluación reproductiva. Debe evitarse durante el embarazo y, salvo circunstancias excepcionales, en personas con potencial de gestación. La consejería no se reduce a solicitar una beta-hCG: incluye planes, anticoncepción y alternativas. Carbamazepina tiene interacciones importantes y suele quedar para manejo especializado.</w:t>
      </w:r>
    </w:p>
    <w:p>
      <w:pPr>
        <w:pStyle w:val="Heading1"/>
      </w:pPr>
      <w:r>
        <w:t>Características mixtas y suicidio</w:t>
      </w:r>
    </w:p>
    <w:p>
      <w:r>
        <w:t>Una persona puede estar acelerada y desesperanzada, con irritabilidad, culpa, impulsividad e ideas de muerte. No se requiere euforia para reconocer mezcla. La evaluación suicida debe explorar intención, plan, acceso, intentos, consumo, agitación e insomnio; la energía creciente puede volver más ejecutable una ideación previa.</w:t>
      </w:r>
    </w:p>
    <w:p>
      <w:r>
        <w:t>En un episodio con características mixtas se evita un antidepresivo como monoterapia. El tratamiento se organiza como manía, con vigilancia de la depresión emergente. Disminuir agitación no basta: se siguen desesperanza, impulsividad y suicidalidad durante toda la estabilización.</w:t>
      </w:r>
    </w:p>
    <w:p>
      <w:pPr>
        <w:pStyle w:val="Heading1"/>
      </w:pPr>
      <w:r>
        <w:t>Estudio y monitorización</w:t>
      </w:r>
    </w:p>
    <w:p>
      <w:r>
        <w:t>El estudio se selecciona según diferencial y tratamiento: hemograma, electrolitos, función renal y hepática, TSH, glicemia o HbA1c, lípidos, embarazo cuando corresponda y toxicológico dirigido. ECG depende de edad, antecedentes, signos vitales y fármaco. Neuroimagen, EEG, punción lumbar o autoinmunidad se reservan para banderas rojas.</w:t>
      </w:r>
    </w:p>
    <w:p>
      <w:r>
        <w:t>Antes y durante antipsicóticos se registran peso e IMC, cintura, presión, variables metabólicas y examen de movimientos; ECG cuando corresponde. Con litio se documentan hora de dosis y nivel plasmático en condiciones interpretables. Con valproato se monitorizan hematología, hígado, metabolismo y reproducción. En una emergencia, los exámenes no deben retrasar medicación imprescindible; la razón y el plan para completarlos se documentan.</w:t>
      </w:r>
    </w:p>
    <w:p>
      <w:r>
        <w:t>Antes de declarar fracaso se revisan diagnóstico, causa secundaria, adherencia, absorción, dosis y duración. La terapia electroconvulsiva puede ser apropiada en manía grave, catatonía, embarazo con necesidad de respuesta rápida, fracaso terapéutico o peligro vital.</w:t>
      </w:r>
    </w:p>
    <w:p>
      <w:pPr>
        <w:pStyle w:val="Heading1"/>
      </w:pPr>
      <w:r>
        <w:t>GES 75 durante el episodio agudo</w:t>
      </w:r>
    </w:p>
    <w:p>
      <w:r>
        <w:t xml:space="preserve">El GES 75 cubre a personas de </w:t>
      </w:r>
      <w:r>
        <w:rPr>
          <w:b/>
        </w:rPr>
        <w:t>15 años y más</w:t>
      </w:r>
      <w:r>
        <w:t xml:space="preserve"> con diagnóstico confirmado por médico especialista. El tratamiento debe comenzar dentro de </w:t>
      </w:r>
      <w:r>
        <w:rPr>
          <w:b/>
        </w:rPr>
        <w:t>24 horas desde la confirmación diagnóstica</w:t>
      </w:r>
      <w:r>
        <w:t xml:space="preserve">. Si existe indicación médica de hospitalización, ésta debe realizarse dentro de </w:t>
      </w:r>
      <w:r>
        <w:rPr>
          <w:b/>
        </w:rPr>
        <w:t>24 horas desde la indicación</w:t>
      </w:r>
      <w:r>
        <w:t>.</w:t>
      </w:r>
    </w:p>
    <w:p>
      <w:r>
        <w:t>La ficha pública no establece un plazo específico para confirmar una sospecha. Estos son máximos administrativos, no períodos de espera: una manía peligrosa se estabiliza inmediatamente. La canasta financiada no sustituye la indicación clínica.</w:t>
      </w:r>
    </w:p>
    <w:p>
      <w:pPr>
        <w:pStyle w:val="Heading1"/>
      </w:pPr>
      <w:r>
        <w:t>Errores frecuentes</w:t>
      </w:r>
    </w:p>
    <w:p>
      <w:pPr>
        <w:pStyle w:val="ListBullet"/>
      </w:pPr>
      <w:r>
        <w:t>Elegir fármacos antes de descartar delirium o intoxicación.</w:t>
      </w:r>
    </w:p>
    <w:p>
      <w:pPr>
        <w:pStyle w:val="ListBullet"/>
      </w:pPr>
      <w:r>
        <w:t>Manejar ambulatoriamente una manía psicótica sin soporte suficiente.</w:t>
      </w:r>
    </w:p>
    <w:p>
      <w:pPr>
        <w:pStyle w:val="ListBullet"/>
      </w:pPr>
      <w:r>
        <w:t>Usar un antidepresivo como monoterapia en un episodio mixto.</w:t>
      </w:r>
    </w:p>
    <w:p>
      <w:pPr>
        <w:pStyle w:val="ListBullet"/>
      </w:pPr>
      <w:r>
        <w:t>Indicar valproato sin evaluación reproductiva.</w:t>
      </w:r>
    </w:p>
    <w:p>
      <w:pPr>
        <w:pStyle w:val="ListBullet"/>
      </w:pPr>
      <w:r>
        <w:t>Combinar antipsicóticos sin objetivo ni revisión.</w:t>
      </w:r>
    </w:p>
    <w:p>
      <w:pPr>
        <w:pStyle w:val="ListBullet"/>
      </w:pPr>
      <w:r>
        <w:t>Confundir dormir una noche con remisión sindromática.</w:t>
      </w:r>
    </w:p>
    <w:p>
      <w:pPr>
        <w:pStyle w:val="ListBullet"/>
      </w:pPr>
      <w:r>
        <w:t>Hospitalizar involuntariamente sólo por el diagnóstico.</w:t>
      </w:r>
    </w:p>
    <w:p>
      <w:pPr>
        <w:pStyle w:val="ListBullet"/>
      </w:pPr>
      <w:r>
        <w:t>Esperar 24 horas porque “GES da ese plazo”.</w:t>
      </w:r>
    </w:p>
    <w:p>
      <w:pPr>
        <w:pStyle w:val="Heading1"/>
      </w:pPr>
      <w:r>
        <w:t>Para recordar</w:t>
      </w:r>
    </w:p>
    <w:p>
      <w:pPr>
        <w:spacing w:after="60" w:line="288" w:lineRule="auto"/>
        <w:ind w:left="432" w:hanging="216"/>
        <w:shd w:fill="EAF6F3"/>
        <w:keepNext/>
        <w:keepLines/>
        <w:pBdr>
          <w:left w:val="single" w:sz="8" w:space="8" w:color="2A8C82"/>
        </w:pBdr>
      </w:pPr>
      <w:r>
        <w:t>1. En manía aguda primero se decide seguridad y destino.</w:t>
      </w:r>
    </w:p>
    <w:p>
      <w:pPr>
        <w:spacing w:after="60" w:line="288" w:lineRule="auto"/>
        <w:ind w:left="432" w:hanging="216"/>
        <w:shd w:fill="EAF6F3"/>
        <w:keepNext/>
        <w:keepLines/>
        <w:pBdr>
          <w:left w:val="single" w:sz="8" w:space="8" w:color="2A8C82"/>
        </w:pBdr>
      </w:pPr>
      <w:r>
        <w:t>2. La combinación farmacológica se justifica por gravedad, no por costumbre.</w:t>
      </w:r>
    </w:p>
    <w:p>
      <w:pPr>
        <w:spacing w:after="60" w:line="288" w:lineRule="auto"/>
        <w:ind w:left="432" w:hanging="216"/>
        <w:shd w:fill="EAF6F3"/>
        <w:keepNext/>
        <w:keepLines/>
        <w:pBdr>
          <w:left w:val="single" w:sz="8" w:space="8" w:color="2A8C82"/>
        </w:pBdr>
      </w:pPr>
      <w:r>
        <w:t>3. Las características mixtas obligan a buscar suicidio activamente.</w:t>
      </w:r>
    </w:p>
    <w:p>
      <w:pPr>
        <w:spacing w:after="60" w:line="288" w:lineRule="auto"/>
        <w:ind w:left="432" w:hanging="216"/>
        <w:shd w:fill="EAF6F3"/>
        <w:keepNext/>
        <w:keepLines/>
        <w:pBdr>
          <w:left w:val="single" w:sz="8" w:space="8" w:color="2A8C82"/>
        </w:pBdr>
      </w:pPr>
      <w:r>
        <w:t>4. Cada fármaco exige una vigilancia distinta.</w:t>
      </w:r>
    </w:p>
    <w:p>
      <w:pPr>
        <w:spacing w:after="60" w:line="288" w:lineRule="auto"/>
        <w:ind w:left="432" w:hanging="216"/>
        <w:shd w:fill="EAF6F3"/>
        <w:keepLines/>
        <w:pBdr>
          <w:left w:val="single" w:sz="8" w:space="8" w:color="2A8C82"/>
        </w:pBdr>
      </w:pPr>
      <w:r>
        <w:t>5. GES fija máximos; la urgencia clínica puede exigir actuar ahora.</w:t>
      </w:r>
    </w:p>
    <w:p>
      <w:pPr>
        <w:pStyle w:val="Heading1"/>
      </w:pPr>
      <w:r>
        <w:t>Bibliografía esencial</w:t>
      </w:r>
    </w:p>
    <w:p>
      <w:pPr>
        <w:pStyle w:val="Bibliography"/>
      </w:pPr>
      <w:r>
        <w:t xml:space="preserve">• National Institute for Health and Care Excellence. </w:t>
      </w:r>
      <w:r>
        <w:rPr>
          <w:i/>
        </w:rPr>
        <w:t>Bipolar disorder: assessment and management</w:t>
      </w:r>
      <w:r>
        <w:t xml:space="preserve">. Clinical guideline CG185, actualización 2025. </w:t>
      </w:r>
      <w:hyperlink r:id="rId50">
        <w:r>
          <w:rPr>
            <w:color w:val="246B8E"/>
            <w:u w:val="single"/>
          </w:rPr>
          <w:t>Recomendaciones</w:t>
        </w:r>
      </w:hyperlink>
      <w:r>
        <w:t>.</w:t>
      </w:r>
    </w:p>
    <w:p>
      <w:pPr>
        <w:pStyle w:val="Bibliography"/>
      </w:pPr>
      <w:r>
        <w:t xml:space="preserve">• Department of Veterans Affairs &amp; Department of Defense. </w:t>
      </w:r>
      <w:r>
        <w:rPr>
          <w:i/>
        </w:rPr>
        <w:t>Clinical Practice Guideline for the Management of Bipolar Disorder</w:t>
      </w:r>
      <w:r>
        <w:t xml:space="preserve">. 2023. </w:t>
      </w:r>
      <w:hyperlink r:id="rId52">
        <w:r>
          <w:rPr>
            <w:color w:val="246B8E"/>
            <w:u w:val="single"/>
          </w:rPr>
          <w:t>Guía y materiales</w:t>
        </w:r>
      </w:hyperlink>
      <w:r>
        <w:t>.</w:t>
      </w:r>
    </w:p>
    <w:p>
      <w:pPr>
        <w:pStyle w:val="Bibliography"/>
      </w:pPr>
      <w:r>
        <w:t xml:space="preserve">• Keramatian K, Chithra NK, Yatham LN. The CANMAT and ISBD Guidelines for the Treatment of Bipolar Disorder: Summary and a 2023 Update of Evidence. </w:t>
      </w:r>
      <w:r>
        <w:rPr>
          <w:i/>
        </w:rPr>
        <w:t>Focus</w:t>
      </w:r>
      <w:r>
        <w:t xml:space="preserve">. 2023;21(4):344-353. </w:t>
      </w:r>
      <w:hyperlink r:id="rId51">
        <w:r>
          <w:rPr>
            <w:color w:val="246B8E"/>
            <w:u w:val="single"/>
          </w:rPr>
          <w:t>Texto completo</w:t>
        </w:r>
      </w:hyperlink>
      <w:r>
        <w:t>.</w:t>
      </w:r>
    </w:p>
    <w:p>
      <w:pPr>
        <w:pStyle w:val="Bibliography"/>
      </w:pPr>
      <w:r>
        <w:t xml:space="preserve">• Ministerio de Salud de Chile. </w:t>
      </w:r>
      <w:r>
        <w:rPr>
          <w:i/>
        </w:rPr>
        <w:t>GES 75: Trastorno bipolar en personas de 15 años y más</w:t>
      </w:r>
      <w:r>
        <w:t xml:space="preserve">. Portal AUGE/GES, normativa vigente. </w:t>
      </w:r>
      <w:hyperlink r:id="rId54">
        <w:r>
          <w:rPr>
            <w:color w:val="246B8E"/>
            <w:u w:val="single"/>
          </w:rPr>
          <w:t>Ficha oficial</w:t>
        </w:r>
      </w:hyperlink>
      <w:r>
        <w:t>.</w:t>
      </w:r>
    </w:p>
    <w:p>
      <w:pPr>
        <w:pStyle w:val="Bibliography"/>
      </w:pPr>
      <w:r>
        <w:t xml:space="preserve">• American Psychiatric Association. </w:t>
      </w:r>
      <w:r>
        <w:rPr>
          <w:i/>
        </w:rPr>
        <w:t>Diagnostic and Statistical Manual of Mental Disorders: DSM-5-TR</w:t>
      </w:r>
      <w:r>
        <w:t xml:space="preserve">. 2022. </w:t>
      </w:r>
      <w:hyperlink r:id="rId49">
        <w:r>
          <w:rPr>
            <w:color w:val="246B8E"/>
            <w:u w:val="single"/>
          </w:rPr>
          <w:t>Referencia editorial</w:t>
        </w:r>
      </w:hyperlink>
      <w:r>
        <w:t>.</w:t>
      </w:r>
    </w:p>
    <w:p>
      <w:pPr>
        <w:pStyle w:val="Bibliography"/>
      </w:pPr>
      <w:r>
        <w:t xml:space="preserve">• Ministerio de Salud de Chile. </w:t>
      </w:r>
      <w:r>
        <w:rPr>
          <w:i/>
        </w:rPr>
        <w:t>Reglamento sobre hospitalización psiquiátrica, Decreto Supremo N.º 9 de 2024</w:t>
      </w:r>
      <w:r>
        <w:t xml:space="preserve">. Vigente desde 2025. </w:t>
      </w:r>
      <w:hyperlink r:id="rId55">
        <w:r>
          <w:rPr>
            <w:color w:val="246B8E"/>
            <w:u w:val="single"/>
          </w:rPr>
          <w:t>Texto oficial consolidado</w:t>
        </w:r>
      </w:hyperlink>
      <w:r>
        <w:t>.</w:t>
      </w:r>
    </w:p>
    <w:p>
      <w:r>
        <w:br w:type="page"/>
      </w:r>
    </w:p>
    <w:p>
      <w:pPr>
        <w:spacing w:after="480"/>
      </w:pPr>
      <w:r>
        <w:rPr>
          <w:rFonts w:ascii="Calibri" w:hAnsi="Calibri"/>
          <w:b/>
          <w:color w:val="2A8C82"/>
          <w:sz w:val="20"/>
        </w:rPr>
        <w:t>CAPÍTULO 19 · MATERIAL PARA ESTUDIANTES</w:t>
      </w:r>
    </w:p>
    <w:tbl>
      <w:tblPr>
        <w:tblW w:type="auto" w:w="0"/>
        <w:jc w:val="left"/>
        <w:tblLayout w:type="fixed"/>
        <w:tblLook w:firstColumn="1" w:firstRow="1" w:lastColumn="0" w:lastRow="0" w:noHBand="0" w:noVBand="1" w:val="04A0"/>
      </w:tblPr>
      <w:tblGrid>
        <w:gridCol w:w="9648"/>
      </w:tblGrid>
      <w:tr>
        <w:trPr>
          <w:tblHeader w:val="true"/>
        </w:trPr>
        <w:tc>
          <w:tcPr>
            <w:tcW w:type="dxa" w:w="9072"/>
            <w:shd w:fill="173A5E"/>
            <w:tcMar>
              <w:top w:w="120" w:type="dxa"/>
              <w:start w:w="220" w:type="dxa"/>
              <w:bottom w:w="120" w:type="dxa"/>
              <w:end w:w="220" w:type="dxa"/>
            </w:tcMar>
          </w:tcPr>
          <w:p>
            <w:pPr>
              <w:spacing w:after="0"/>
            </w:pPr>
            <w:r>
              <w:rPr>
                <w:rFonts w:ascii="Calibri" w:hAnsi="Calibri"/>
                <w:b/>
                <w:color w:val="FFFFFF"/>
                <w:sz w:val="19"/>
              </w:rPr>
              <w:t>MÓDULO II · PATOLOGÍAS, GES Y TRATAMIENTOS</w:t>
            </w:r>
          </w:p>
        </w:tc>
      </w:tr>
    </w:tbl>
    <w:p>
      <w:pPr>
        <w:pStyle w:val="Title"/>
        <w:spacing w:before="520" w:after="360"/>
        <w:outlineLvl w:val="0"/>
      </w:pPr>
      <w:bookmarkStart w:id="1019" w:name="chapter_19"/>
      <w:r>
        <w:t>Depresión bipolar: diagnóstico y tratamiento</w:t>
      </w:r>
      <w:bookmarkEnd w:id="1019"/>
    </w:p>
    <w:p>
      <w:pPr>
        <w:spacing w:after="80"/>
      </w:pPr>
      <w:r>
        <w:rPr>
          <w:rFonts w:ascii="Calibri" w:hAnsi="Calibri"/>
          <w:b/>
          <w:color w:val="246B8E"/>
          <w:sz w:val="26"/>
        </w:rPr>
        <w:t>Programa de Psiquiatría para internos de Medicina</w:t>
      </w:r>
    </w:p>
    <w:p>
      <w:r>
        <w:rPr>
          <w:rFonts w:ascii="Calibri" w:hAnsi="Calibri"/>
          <w:color w:val="6B7280"/>
          <w:sz w:val="22"/>
        </w:rPr>
        <w:t>Lectura complementaria · Chile · Versión final para revisión humana · 2026</w:t>
      </w:r>
    </w:p>
    <w:p/>
    <w:p/>
    <w:p/>
    <w:p/>
    <w:p/>
    <w:tbl>
      <w:tblPr>
        <w:tblW w:type="auto" w:w="0"/>
        <w:jc w:val="left"/>
        <w:tblLayout w:type="fixed"/>
        <w:tblLook w:firstColumn="1" w:firstRow="1" w:lastColumn="0" w:lastRow="0" w:noHBand="0" w:noVBand="1" w:val="04A0"/>
      </w:tblPr>
      <w:tblGrid>
        <w:gridCol w:w="9648"/>
      </w:tblGrid>
      <w:tr>
        <w:trPr>
          <w:tblHeader w:val="true"/>
        </w:trPr>
        <w:tc>
          <w:tcPr>
            <w:tcW w:type="dxa" w:w="9648"/>
            <w:shd w:fill="F3F5F6"/>
            <w:tcBorders>
              <w:start w:val="single" w:sz="18" w:color="2A8C82"/>
            </w:tcBorders>
            <w:tcMar>
              <w:top w:w="160" w:type="dxa"/>
              <w:start w:w="220" w:type="dxa"/>
              <w:bottom w:w="160" w:type="dxa"/>
              <w:end w:w="220" w:type="dxa"/>
            </w:tcMar>
          </w:tcPr>
          <w:p>
            <w:pPr>
              <w:spacing w:after="0"/>
            </w:pPr>
            <w:r>
              <w:rPr>
                <w:rFonts w:ascii="Calibri" w:hAnsi="Calibri"/>
                <w:i/>
                <w:color w:val="6B7280"/>
                <w:sz w:val="18"/>
              </w:rPr>
              <w:t>Versión docente final para revisión humana. Material propuesto y contextualizado a Chile; no corresponde a un programa oficial de la Pontificia Universidad Católica de Chile ni sustituye protocolos locales, supervisión clínica o evaluación especializada. Fuentes revisadas al 15 de agosto de 2026.</w:t>
            </w:r>
          </w:p>
        </w:tc>
      </w:tr>
    </w:tbl>
    <w:p>
      <w:r>
        <w:br w:type="page"/>
      </w:r>
    </w:p>
    <w:tbl>
      <w:tblPr>
        <w:tblW w:type="auto" w:w="0"/>
        <w:jc w:val="center"/>
        <w:tblLayout w:type="autofit"/>
        <w:tblLook w:firstColumn="1" w:firstRow="1" w:lastColumn="0" w:lastRow="0" w:noHBand="0" w:noVBand="1" w:val="04A0"/>
      </w:tblPr>
      <w:tblGrid>
        <w:gridCol w:w="9648"/>
      </w:tblGrid>
      <w:tr>
        <w:trPr>
          <w:tblHeader w:val="true"/>
        </w:trPr>
        <w:tc>
          <w:tcPr>
            <w:tcW w:type="dxa" w:w="9648"/>
            <w:vAlign w:val="center"/>
            <w:shd w:fill="EAF3F7"/>
            <w:tcBorders>
              <w:start w:val="single" w:sz="14" w:color="2A8C82"/>
            </w:tcBorders>
            <w:tcMar>
              <w:top w:w="130" w:type="dxa"/>
              <w:start w:w="190" w:type="dxa"/>
              <w:bottom w:w="130" w:type="dxa"/>
              <w:end w:w="190" w:type="dxa"/>
            </w:tcMar>
          </w:tcPr>
          <w:p>
            <w:pPr>
              <w:spacing w:after="0"/>
            </w:pPr>
            <w:r>
              <w:rPr>
                <w:b/>
                <w:color w:val="173A5E"/>
              </w:rPr>
              <w:t xml:space="preserve">PREGUNTA CLÍNICA  </w:t>
            </w:r>
            <w:r>
              <w:t>¿Cómo tratar una depresión bipolar sin asumir que es una depresión unipolar con otro apellido?</w:t>
            </w:r>
          </w:p>
        </w:tc>
      </w:tr>
    </w:tbl>
    <w:p>
      <w:pPr>
        <w:spacing w:after="0"/>
      </w:pPr>
    </w:p>
    <w:tbl>
      <w:tblPr>
        <w:tblW w:type="auto" w:w="0"/>
        <w:jc w:val="center"/>
        <w:tblLayout w:type="autofit"/>
        <w:tblLook w:firstColumn="1" w:firstRow="1" w:lastColumn="0" w:lastRow="0" w:noHBand="0" w:noVBand="1" w:val="04A0"/>
      </w:tblPr>
      <w:tblGrid>
        <w:gridCol w:w="9648"/>
      </w:tblGrid>
      <w:tr>
        <w:trPr>
          <w:tblHeader w:val="true"/>
        </w:trPr>
        <w:tc>
          <w:tcPr>
            <w:tcW w:type="dxa" w:w="9648"/>
            <w:vAlign w:val="center"/>
            <w:shd w:fill="EAF6F3"/>
            <w:tcBorders>
              <w:start w:val="single" w:sz="14" w:color="2A8C82"/>
            </w:tcBorders>
            <w:tcMar>
              <w:top w:w="130" w:type="dxa"/>
              <w:start w:w="190" w:type="dxa"/>
              <w:bottom w:w="130" w:type="dxa"/>
              <w:end w:w="190" w:type="dxa"/>
            </w:tcMar>
          </w:tcPr>
          <w:p>
            <w:pPr>
              <w:spacing w:after="0"/>
            </w:pPr>
            <w:r>
              <w:rPr>
                <w:b/>
                <w:color w:val="173A5E"/>
              </w:rPr>
              <w:t xml:space="preserve">IDEA CENTRAL  </w:t>
            </w:r>
            <w:r>
              <w:t>El tratamiento debe aliviar el episodio actual sin aumentar viraje, ciclaje o inestabilidad futura; por eso combina diagnóstico longitudinal, opciones específicas y seguimiento estrecho de sueño, energía e impulsividad.</w:t>
            </w:r>
          </w:p>
        </w:tc>
      </w:tr>
    </w:tbl>
    <w:p>
      <w:pPr>
        <w:spacing w:after="0"/>
      </w:pPr>
    </w:p>
    <w:p>
      <w:pPr>
        <w:pStyle w:val="Heading1"/>
      </w:pPr>
      <w:r>
        <w:t>Por qué importa</w:t>
      </w:r>
    </w:p>
    <w:p>
      <w:r>
        <w:t>La depresión explica gran parte de la discapacidad y del riesgo suicida del trastorno bipolar. También es la fase en que más fácilmente se pierde el diagnóstico: la persona consulta deprimida, recuerda la hipomanía como bienestar y solicita el antidepresivo que alguna vez la “activó”. Una mejoría basada en dormir menos y aumentar impulsividad puede confundirse con respuesta.</w:t>
      </w:r>
    </w:p>
    <w:p>
      <w:r>
        <w:t>Bipolar II no es clínicamente trivial. Aunque no haya manía completa, la carga depresiva, las recurrencias y la suicidalidad pueden ser intensas. El interno debe reconocer cuándo un cuadro exige estabilización urgente y comprender por qué los antidepresivos tienen un lugar limitado, condicional y vigilado.</w:t>
      </w:r>
    </w:p>
    <w:p>
      <w:pPr>
        <w:pStyle w:val="Heading1"/>
      </w:pPr>
      <w:r>
        <w:t>Objetivos de aprendizaje</w:t>
      </w:r>
    </w:p>
    <w:p>
      <w:pPr>
        <w:pStyle w:val="ListBullet"/>
      </w:pPr>
      <w:r>
        <w:t>Confirmar que el episodio depresivo pertenece a una trayectoria bipolar.</w:t>
      </w:r>
    </w:p>
    <w:p>
      <w:pPr>
        <w:pStyle w:val="ListBullet"/>
      </w:pPr>
      <w:r>
        <w:t>Detectar características mixtas, psicosis, catatonía y suicidalidad.</w:t>
      </w:r>
    </w:p>
    <w:p>
      <w:pPr>
        <w:pStyle w:val="ListBullet"/>
      </w:pPr>
      <w:r>
        <w:t>Comprender las principales opciones farmacológicas con evidencia.</w:t>
      </w:r>
    </w:p>
    <w:p>
      <w:pPr>
        <w:pStyle w:val="ListBullet"/>
      </w:pPr>
      <w:r>
        <w:t>Explicar el papel restringido de los antidepresivos.</w:t>
      </w:r>
    </w:p>
    <w:p>
      <w:pPr>
        <w:pStyle w:val="ListBullet"/>
      </w:pPr>
      <w:r>
        <w:t>Integrar psicoterapia, sueño, ritmos sociales y consumo de sustancias.</w:t>
      </w:r>
    </w:p>
    <w:p>
      <w:pPr>
        <w:pStyle w:val="ListBullet"/>
      </w:pPr>
      <w:r>
        <w:t>Medir respuesta sin confundir activación con remisión.</w:t>
      </w:r>
    </w:p>
    <w:p>
      <w:pPr>
        <w:pStyle w:val="ListBullet"/>
      </w:pPr>
      <w:r>
        <w:t>Reconocer indicaciones de hospitalización, TEC y derivación especializada.</w:t>
      </w:r>
    </w:p>
    <w:p>
      <w:pPr>
        <w:pStyle w:val="Heading1"/>
      </w:pPr>
      <w:r>
        <w:t>Caso clínico</w:t>
      </w:r>
    </w:p>
    <w:p>
      <w:pPr>
        <w:shd w:fill="EAF3F7"/>
        <w:keepNext/>
        <w:keepLines/>
        <w:pBdr>
          <w:left w:val="single" w:sz="8" w:space="8" w:color="246B8E"/>
        </w:pBdr>
        <w:ind w:left="173" w:right="86"/>
      </w:pPr>
      <w:r>
        <w:t>María José, de 36 años, con trastorno bipolar II confirmado, presenta ocho semanas de ánimo deprimido, hipersomnia, culpa, retraimiento y deterioro laboral. Solicita reiniciar fluoxetina porque “es lo único que me levanta rápido”. Con fluoxetina como monoterapia tuvo previamente irritabilidad, reducción del sueño, aceleración y compras impulsivas. Ahora niega euforia, pero algunas noches duerme cuatro horas, se siente agotada y piensa que su familia estaría mejor sin ella.</w:t>
      </w:r>
    </w:p>
    <w:p>
      <w:pPr>
        <w:shd w:fill="EAF3F7"/>
        <w:keepLines/>
        <w:pBdr>
          <w:left w:val="single" w:sz="8" w:space="8" w:color="246B8E"/>
        </w:pBdr>
        <w:ind w:left="173" w:right="86"/>
      </w:pPr>
      <w:r>
        <w:t>Antes de prescribir hay que precisar intención suicida y la presencia de características mixtas. Reiniciar monoterapia antidepresiva reproduciría un riesgo conocido. El plan debe priorizar seguridad, revisar tratamientos previos y seleccionar una opción con evidencia específica para depresión bipolar.</w:t>
      </w:r>
    </w:p>
    <w:p>
      <w:pPr>
        <w:pStyle w:val="Heading1"/>
      </w:pPr>
      <w:r>
        <w:t>Confirmar qué episodio se trata</w:t>
      </w:r>
    </w:p>
    <w:p>
      <w:r>
        <w:t>El episodio depresivo se evalúa con los mismos componentes sindromáticos que en depresión unipolar: ánimo, interés, sueño, apetito, energía, psicomotricidad, cognición, culpa, muerte y funcionamiento. Luego se determina cómo encaja en la trayectoria bipolar. Se revisan episodios maníacos o hipomaníacos, tratamientos, hospitalizaciones, puerperio, sustancias y períodos de recuperación.</w:t>
      </w:r>
    </w:p>
    <w:p>
      <w:r>
        <w:t>Las características mixtas son decisivas. Aceleración, irritabilidad, menor necesidad de sueño, aumento de energía, habla o impulsividad pueden coexistir con tristeza y desesperanza. Esta combinación puede aumentar riesgo y hace menos apropiados los antidepresivos. La ausencia de euforia no descarta mezcla.</w:t>
      </w:r>
    </w:p>
    <w:p>
      <w:r>
        <w:t>También se excluyen sedación farmacológica, hipotiroidismo, anemia, apnea del sueño, consumo y otras causas de fatiga. La adherencia y, cuando resultan útiles, los niveles plasmáticos ayudan a interpretar un aparente fracaso. Psicosis, catatonía, inanición o suicidalidad no manejable ambulatoriamente exigen escalamiento urgente.</w:t>
      </w:r>
    </w:p>
    <w:p>
      <w:pPr>
        <w:pStyle w:val="Heading1"/>
      </w:pPr>
      <w:r>
        <w:t>Opciones farmacológicas principales</w:t>
      </w:r>
    </w:p>
    <w:p>
      <w:r>
        <w:t>La elección considera la fase actual y la prevención futura. Quetiapina tiene evidencia en depresión bipolar y mantención, pero requiere ponderar sedación, hipotensión, peso y metabolismo. Litio puede contribuir al tratamiento depresivo y es central para prevenir recurrencias; su perfil longitudinal y asociación con menor conducta suicida influyen en la decisión, junto con la monitorización renal, tiroidea y plasmática.</w:t>
      </w:r>
    </w:p>
    <w:p>
      <w:r>
        <w:t>Lamotrigina tiene un papel importante en prevención de recurrencias depresivas y puede considerarse en el episodio, aunque su efecto agudo es más modesto. Su titulación lenta por riesgo de exantema grave impide presentarla como una respuesta inmediata para una emergencia. Después de una interrupción relevante suele requerir retitulación.</w:t>
      </w:r>
    </w:p>
    <w:p>
      <w:r>
        <w:t>Lurasidona, cariprazina y otras opciones cuentan con respaldo en determinados contextos, según regulación, disponibilidad y experiencia. La combinación olanzapina–fluoxetina también tiene evidencia, pero su carga metabólica y acceso pueden limitarla. Que una alternativa aparezca en una guía internacional o canasta no garantiza disponibilidad local ni la vuelve primera línea para toda persona.</w:t>
      </w:r>
    </w:p>
    <w:p>
      <w:r>
        <w:t>La decisión integra polaridad predominante, respuesta previa, efectos adversos, función renal o hepática, riesgo metabólico, reproducción, interacciones, costo y preferencias. Escoger sólo para el episodio presente puede hipotecar la prevención de los siguientes.</w:t>
      </w:r>
    </w:p>
    <w:p>
      <w:r>
        <w:t>Cuando la persona ya toma litio, un nivel plasmático correctamente temporizado ayuda a distinguir exposición insuficiente de falta de eficacia antes de añadir fármacos. Con cualquier alternativa se registran síntomas y funcionamiento basales, se acuerda un plazo de reevaluación y se monitoriza el perfil específico: metabolismo y movimientos con antipsicóticos, función renal y tiroidea con litio, y exantema durante titulación de lamotrigina.</w:t>
      </w:r>
    </w:p>
    <w:p>
      <w:pPr>
        <w:pStyle w:val="Heading1"/>
      </w:pPr>
      <w:r>
        <w:t>Antidepresivos: un lugar condicional</w:t>
      </w:r>
    </w:p>
    <w:p>
      <w:r>
        <w:t>Los antidepresivos no deben utilizarse como monoterapia en trastorno bipolar I. Deben evitarse ante características mixtas, ciclaje rápido, viraje previo claro o inestabilidad reciente. Para bipolar II con depresión “pura”, no mixta, las guías no son idénticas: CANMAT/ISBD incluye algunos antidepresivos entre alternativas de segunda línea, incluso sin otro fármaco en casos seleccionados, mientras otros marcos son más restrictivos. Esa excepción especializada no debe convertirse en la regla de “bipolar II igual a depresión unipolar”. Respuesta previa, activación, gravedad y posibilidad de seguimiento deciden si se considera un antidepresivo, con o sin un agente estabilizador.</w:t>
      </w:r>
    </w:p>
    <w:p>
      <w:r>
        <w:t>Cuando se utilizan, muchos marcos prefieren ISRS o bupropión a tricíclicos y a antidepresivos con mayor señal de viraje, aunque las jerarquías no son uniformes y CANMAT/ISBD incluye sertralina o venlafaxina para determinados episodios bipolares II no mixtos. La evidencia de beneficio es más modesta y heterogénea que en depresión unipolar. Deben definirse hipótesis de beneficio, duración prevista y criterios de suspensión.</w:t>
      </w:r>
    </w:p>
    <w:p>
      <w:r>
        <w:t>Antes de iniciar se acuerdan signos de alerta: menor necesidad de sueño, aceleración, irritabilidad nueva, impulsividad, aumento anormal de actividad o gastos. Una persona significativa, con autorización, puede detectar cambios tempranos. Un antidepresivo sin beneficio claro no debería mantenerse indefinidamente por inercia.</w:t>
      </w:r>
    </w:p>
    <w:p>
      <w:pPr>
        <w:pStyle w:val="Heading1"/>
      </w:pPr>
      <w:r>
        <w:t>Psicoterapia, sueño y ritmos</w:t>
      </w:r>
    </w:p>
    <w:p>
      <w:r>
        <w:t>La psicoeducación ayuda a reconocer episodios, adherencia, desencadenantes y signos tempranos. Terapia cognitivo-conductual, terapia interpersonal y de ritmos sociales e intervención focalizada en familia pueden contribuir según fase y disponibilidad. No reemplazan farmacoterapia necesaria ni protección ante riesgo alto, pero mejoran continuidad y funcionamiento.</w:t>
      </w:r>
    </w:p>
    <w:p>
      <w:r>
        <w:t>La regularidad de sueño, comidas, actividad y exposición a luz es especialmente importante. Turnos nocturnos, viajes con cambio horario y privación de sueño pueden desestabilizar. La activación conductual debe ser gradual y evitar metas que fomenten sobreexigencia o reducción del sueño.</w:t>
      </w:r>
    </w:p>
    <w:p>
      <w:r>
        <w:t>Alcohol, cannabis, estimulantes y automedicación alteran ánimo, sueño y adherencia. Deben abordarse sin esperar que desaparezcan espontáneamente cuando mejore la depresión. El plan incluye recuperación de roles y reducción de estrés, no sólo disminución de síntomas.</w:t>
      </w:r>
    </w:p>
    <w:p>
      <w:pPr>
        <w:pStyle w:val="Heading1"/>
      </w:pPr>
      <w:r>
        <w:t>Depresión grave, psicótica o refractaria</w:t>
      </w:r>
    </w:p>
    <w:p>
      <w:r>
        <w:t>La hospitalización se considera ante intención suicida, ausencia de entorno seguro, psicosis grave, catatonía, inanición o incapacidad de autocuidado. En depresión psicótica se integra tratamiento del ánimo y antipsicótico, y se valora terapia electroconvulsiva. La TEC es especialmente relevante cuando se requiere una respuesta rápida o existió respuesta previa.</w:t>
      </w:r>
    </w:p>
    <w:p>
      <w:r>
        <w:t>Antes de declarar resistencia se revisan diagnóstico, mezcla, dosis, duración, adherencia, sustancias, comorbilidad y causas médicas. La evidencia de ketamina o esketamina en depresión bipolar es más limitada que en depresión unipolar; su uso no es rutinario, requiere un equipo especializado y vigilancia de viraje, presión, disociación y uso problemático. Una respuesta breve nunca sustituye estabilización longitudinal.</w:t>
      </w:r>
    </w:p>
    <w:p>
      <w:r>
        <w:t>En las primeras semanas se monitorizan suicidalidad, sueño, energía, impulsividad, psicosis, adherencia y efectos adversos. La mejoría del ánimo acompañada de menos sueño y más actividad puede ser un viraje incipiente, no remisión. Las metas funcionales complementan cualquier escala.</w:t>
      </w:r>
    </w:p>
    <w:p>
      <w:r>
        <w:t>GES 75 se activa en personas de 15 años y más cuando el diagnóstico de trastorno bipolar ha sido confirmado por especialista, también si la fase actual es depresiva. Garantiza tratamiento dentro de 24 horas desde esa confirmación y hospitalización dentro de 24 horas desde su indicación; no selecciona el fármaco ni autoriza esperar ante una emergencia.</w:t>
      </w:r>
    </w:p>
    <w:p>
      <w:pPr>
        <w:pStyle w:val="Heading1"/>
      </w:pPr>
      <w:r>
        <w:t>Integración del caso</w:t>
      </w:r>
    </w:p>
    <w:p>
      <w:r>
        <w:t>María José tiene una depresión bipolar con señales que podrían corresponder a mezcla y pensamientos de muerte que obligan a precisar urgencia. Fluoxetina como monoterapia sería una mala elección por su antecedente de activación. Corresponde asegurar protección, revisar el estabilizador previo, considerar una intervención específica y controlar tempranamente sueño, energía y conducta.</w:t>
      </w:r>
    </w:p>
    <w:p>
      <w:pPr>
        <w:pStyle w:val="Heading1"/>
      </w:pPr>
      <w:r>
        <w:t>Errores frecuentes</w:t>
      </w:r>
    </w:p>
    <w:p>
      <w:pPr>
        <w:pStyle w:val="ListBullet"/>
      </w:pPr>
      <w:r>
        <w:t>Tratar depresión bipolar como si fuera unipolar.</w:t>
      </w:r>
    </w:p>
    <w:p>
      <w:pPr>
        <w:pStyle w:val="ListBullet"/>
      </w:pPr>
      <w:r>
        <w:t>Utilizar antidepresivo como monoterapia en bipolar I.</w:t>
      </w:r>
    </w:p>
    <w:p>
      <w:pPr>
        <w:pStyle w:val="ListBullet"/>
      </w:pPr>
      <w:r>
        <w:t>Ignorar mezcla porque la persona se describe como deprimida.</w:t>
      </w:r>
    </w:p>
    <w:p>
      <w:pPr>
        <w:pStyle w:val="ListBullet"/>
      </w:pPr>
      <w:r>
        <w:t>Confundir activación con recuperación.</w:t>
      </w:r>
    </w:p>
    <w:p>
      <w:pPr>
        <w:pStyle w:val="ListBullet"/>
      </w:pPr>
      <w:r>
        <w:t>Elegir lamotrigina como si produjera respuesta en pocos días.</w:t>
      </w:r>
    </w:p>
    <w:p>
      <w:pPr>
        <w:pStyle w:val="ListBullet"/>
      </w:pPr>
      <w:r>
        <w:t>Desestimar suicidalidad en bipolar II.</w:t>
      </w:r>
    </w:p>
    <w:p>
      <w:pPr>
        <w:pStyle w:val="ListBullet"/>
      </w:pPr>
      <w:r>
        <w:t>Declarar resistencia sin revisar trayectoria, adherencia y causas médicas.</w:t>
      </w:r>
    </w:p>
    <w:p>
      <w:pPr>
        <w:pStyle w:val="Heading1"/>
      </w:pPr>
      <w:r>
        <w:t>Para recordar</w:t>
      </w:r>
    </w:p>
    <w:p>
      <w:pPr>
        <w:spacing w:after="60" w:line="288" w:lineRule="auto"/>
        <w:ind w:left="432" w:hanging="216"/>
        <w:shd w:fill="EAF6F3"/>
        <w:keepNext/>
        <w:keepLines/>
        <w:pBdr>
          <w:left w:val="single" w:sz="8" w:space="8" w:color="2A8C82"/>
        </w:pBdr>
      </w:pPr>
      <w:r>
        <w:t>1. La depresión concentra gran parte de la carga del trastorno bipolar.</w:t>
      </w:r>
    </w:p>
    <w:p>
      <w:pPr>
        <w:spacing w:after="60" w:line="288" w:lineRule="auto"/>
        <w:ind w:left="432" w:hanging="216"/>
        <w:shd w:fill="EAF6F3"/>
        <w:keepNext/>
        <w:keepLines/>
        <w:pBdr>
          <w:left w:val="single" w:sz="8" w:space="8" w:color="2A8C82"/>
        </w:pBdr>
      </w:pPr>
      <w:r>
        <w:t>2. Antes de tratar hay que buscar mezcla y activación reciente.</w:t>
      </w:r>
    </w:p>
    <w:p>
      <w:pPr>
        <w:spacing w:after="60" w:line="288" w:lineRule="auto"/>
        <w:ind w:left="432" w:hanging="216"/>
        <w:shd w:fill="EAF6F3"/>
        <w:keepNext/>
        <w:keepLines/>
        <w:pBdr>
          <w:left w:val="single" w:sz="8" w:space="8" w:color="2A8C82"/>
        </w:pBdr>
      </w:pPr>
      <w:r>
        <w:t>3. Los antidepresivos tienen un papel limitado, condicional y vigilado.</w:t>
      </w:r>
    </w:p>
    <w:p>
      <w:pPr>
        <w:spacing w:after="60" w:line="288" w:lineRule="auto"/>
        <w:ind w:left="432" w:hanging="216"/>
        <w:shd w:fill="EAF6F3"/>
        <w:keepNext/>
        <w:keepLines/>
        <w:pBdr>
          <w:left w:val="single" w:sz="8" w:space="8" w:color="2A8C82"/>
        </w:pBdr>
      </w:pPr>
      <w:r>
        <w:t>4. La elección debe servir al episodio actual y al curso futuro.</w:t>
      </w:r>
    </w:p>
    <w:p>
      <w:pPr>
        <w:spacing w:after="60" w:line="288" w:lineRule="auto"/>
        <w:ind w:left="432" w:hanging="216"/>
        <w:shd w:fill="EAF6F3"/>
        <w:keepLines/>
        <w:pBdr>
          <w:left w:val="single" w:sz="8" w:space="8" w:color="2A8C82"/>
        </w:pBdr>
      </w:pPr>
      <w:r>
        <w:t>5. Psicosis, catatonía o riesgo suicida obligan a escalar con rapidez.</w:t>
      </w:r>
    </w:p>
    <w:p>
      <w:pPr>
        <w:pStyle w:val="Heading1"/>
      </w:pPr>
      <w:r>
        <w:t>Bibliografía esencial</w:t>
      </w:r>
    </w:p>
    <w:p>
      <w:pPr>
        <w:pStyle w:val="Bibliography"/>
      </w:pPr>
      <w:r>
        <w:t xml:space="preserve">• National Institute for Health and Care Excellence. </w:t>
      </w:r>
      <w:r>
        <w:rPr>
          <w:i/>
        </w:rPr>
        <w:t>Bipolar disorder: assessment and management</w:t>
      </w:r>
      <w:r>
        <w:t xml:space="preserve">. Clinical guideline CG185, actualización 2025. </w:t>
      </w:r>
      <w:hyperlink r:id="rId50">
        <w:r>
          <w:rPr>
            <w:color w:val="246B8E"/>
            <w:u w:val="single"/>
          </w:rPr>
          <w:t>Recomendaciones</w:t>
        </w:r>
      </w:hyperlink>
      <w:r>
        <w:t>.</w:t>
      </w:r>
    </w:p>
    <w:p>
      <w:pPr>
        <w:pStyle w:val="Bibliography"/>
      </w:pPr>
      <w:r>
        <w:t xml:space="preserve">• Department of Veterans Affairs &amp; Department of Defense. </w:t>
      </w:r>
      <w:r>
        <w:rPr>
          <w:i/>
        </w:rPr>
        <w:t>Clinical Practice Guideline for the Management of Bipolar Disorder</w:t>
      </w:r>
      <w:r>
        <w:t xml:space="preserve">. 2023. </w:t>
      </w:r>
      <w:hyperlink r:id="rId52">
        <w:r>
          <w:rPr>
            <w:color w:val="246B8E"/>
            <w:u w:val="single"/>
          </w:rPr>
          <w:t>Guía y materiales</w:t>
        </w:r>
      </w:hyperlink>
      <w:r>
        <w:t>.</w:t>
      </w:r>
    </w:p>
    <w:p>
      <w:pPr>
        <w:pStyle w:val="Bibliography"/>
      </w:pPr>
      <w:r>
        <w:t xml:space="preserve">• Keramatian K, Chithra NK, Yatham LN. The CANMAT and ISBD Guidelines for the Treatment of Bipolar Disorder: Summary and a 2023 Update of Evidence. </w:t>
      </w:r>
      <w:r>
        <w:rPr>
          <w:i/>
        </w:rPr>
        <w:t>Focus</w:t>
      </w:r>
      <w:r>
        <w:t xml:space="preserve">. 2023;21(4):344-353. </w:t>
      </w:r>
      <w:hyperlink r:id="rId51">
        <w:r>
          <w:rPr>
            <w:color w:val="246B8E"/>
            <w:u w:val="single"/>
          </w:rPr>
          <w:t>Texto completo</w:t>
        </w:r>
      </w:hyperlink>
      <w:r>
        <w:t>.</w:t>
      </w:r>
    </w:p>
    <w:p>
      <w:pPr>
        <w:pStyle w:val="Bibliography"/>
      </w:pPr>
      <w:r>
        <w:t xml:space="preserve">• World Health Organization. </w:t>
      </w:r>
      <w:r>
        <w:rPr>
          <w:i/>
        </w:rPr>
        <w:t>Clinical Descriptions and Diagnostic Requirements for ICD-11 Mental, Behavioural and Neurodevelopmental Disorders</w:t>
      </w:r>
      <w:r>
        <w:t xml:space="preserve">. 2024. </w:t>
      </w:r>
      <w:hyperlink r:id="rId14">
        <w:r>
          <w:rPr>
            <w:color w:val="246B8E"/>
            <w:u w:val="single"/>
          </w:rPr>
          <w:t>Manual oficial</w:t>
        </w:r>
      </w:hyperlink>
      <w:r>
        <w:t>.</w:t>
      </w:r>
    </w:p>
    <w:p>
      <w:pPr>
        <w:pStyle w:val="Bibliography"/>
      </w:pPr>
      <w:r>
        <w:t xml:space="preserve">• Ministerio de Salud de Chile. </w:t>
      </w:r>
      <w:r>
        <w:rPr>
          <w:i/>
        </w:rPr>
        <w:t>GES 75: Trastorno bipolar en personas de 15 años y más</w:t>
      </w:r>
      <w:r>
        <w:t xml:space="preserve">. </w:t>
      </w:r>
      <w:hyperlink r:id="rId54">
        <w:r>
          <w:rPr>
            <w:color w:val="246B8E"/>
            <w:u w:val="single"/>
          </w:rPr>
          <w:t>Ficha oficial</w:t>
        </w:r>
      </w:hyperlink>
      <w:r>
        <w:t>.</w:t>
      </w:r>
    </w:p>
    <w:p>
      <w:r>
        <w:br w:type="page"/>
      </w:r>
    </w:p>
    <w:p>
      <w:pPr>
        <w:spacing w:after="480"/>
      </w:pPr>
      <w:r>
        <w:rPr>
          <w:rFonts w:ascii="Calibri" w:hAnsi="Calibri"/>
          <w:b/>
          <w:color w:val="2A8C82"/>
          <w:sz w:val="20"/>
        </w:rPr>
        <w:t>CAPÍTULO 20 · MATERIAL PARA ESTUDIANTES</w:t>
      </w:r>
    </w:p>
    <w:tbl>
      <w:tblPr>
        <w:tblW w:type="auto" w:w="0"/>
        <w:jc w:val="left"/>
        <w:tblLayout w:type="fixed"/>
        <w:tblLook w:firstColumn="1" w:firstRow="1" w:lastColumn="0" w:lastRow="0" w:noHBand="0" w:noVBand="1" w:val="04A0"/>
      </w:tblPr>
      <w:tblGrid>
        <w:gridCol w:w="9648"/>
      </w:tblGrid>
      <w:tr>
        <w:trPr>
          <w:tblHeader w:val="true"/>
        </w:trPr>
        <w:tc>
          <w:tcPr>
            <w:tcW w:type="dxa" w:w="9072"/>
            <w:shd w:fill="173A5E"/>
            <w:tcMar>
              <w:top w:w="120" w:type="dxa"/>
              <w:start w:w="220" w:type="dxa"/>
              <w:bottom w:w="120" w:type="dxa"/>
              <w:end w:w="220" w:type="dxa"/>
            </w:tcMar>
          </w:tcPr>
          <w:p>
            <w:pPr>
              <w:spacing w:after="0"/>
            </w:pPr>
            <w:r>
              <w:rPr>
                <w:rFonts w:ascii="Calibri" w:hAnsi="Calibri"/>
                <w:b/>
                <w:color w:val="FFFFFF"/>
                <w:sz w:val="19"/>
              </w:rPr>
              <w:t>MÓDULO II · PATOLOGÍAS, GES Y TRATAMIENTOS</w:t>
            </w:r>
          </w:p>
        </w:tc>
      </w:tr>
    </w:tbl>
    <w:p>
      <w:pPr>
        <w:pStyle w:val="Title"/>
        <w:spacing w:before="520" w:after="360"/>
        <w:outlineLvl w:val="0"/>
      </w:pPr>
      <w:bookmarkStart w:id="1020" w:name="chapter_20"/>
      <w:r>
        <w:t>Trastorno bipolar: mantención, monitorización, prevención de recaídas y GES 75</w:t>
      </w:r>
      <w:bookmarkEnd w:id="1020"/>
    </w:p>
    <w:p>
      <w:pPr>
        <w:spacing w:after="80"/>
      </w:pPr>
      <w:r>
        <w:rPr>
          <w:rFonts w:ascii="Calibri" w:hAnsi="Calibri"/>
          <w:b/>
          <w:color w:val="246B8E"/>
          <w:sz w:val="26"/>
        </w:rPr>
        <w:t>Programa de Psiquiatría para internos de Medicina</w:t>
      </w:r>
    </w:p>
    <w:p>
      <w:r>
        <w:rPr>
          <w:rFonts w:ascii="Calibri" w:hAnsi="Calibri"/>
          <w:color w:val="6B7280"/>
          <w:sz w:val="22"/>
        </w:rPr>
        <w:t>Lectura complementaria · Chile · Versión final para revisión humana · 2026</w:t>
      </w:r>
    </w:p>
    <w:p/>
    <w:p/>
    <w:p/>
    <w:p/>
    <w:p/>
    <w:tbl>
      <w:tblPr>
        <w:tblW w:type="auto" w:w="0"/>
        <w:jc w:val="left"/>
        <w:tblLayout w:type="fixed"/>
        <w:tblLook w:firstColumn="1" w:firstRow="1" w:lastColumn="0" w:lastRow="0" w:noHBand="0" w:noVBand="1" w:val="04A0"/>
      </w:tblPr>
      <w:tblGrid>
        <w:gridCol w:w="9648"/>
      </w:tblGrid>
      <w:tr>
        <w:trPr>
          <w:tblHeader w:val="true"/>
        </w:trPr>
        <w:tc>
          <w:tcPr>
            <w:tcW w:type="dxa" w:w="9648"/>
            <w:shd w:fill="F3F5F6"/>
            <w:tcBorders>
              <w:start w:val="single" w:sz="18" w:color="2A8C82"/>
            </w:tcBorders>
            <w:tcMar>
              <w:top w:w="160" w:type="dxa"/>
              <w:start w:w="220" w:type="dxa"/>
              <w:bottom w:w="160" w:type="dxa"/>
              <w:end w:w="220" w:type="dxa"/>
            </w:tcMar>
          </w:tcPr>
          <w:p>
            <w:pPr>
              <w:spacing w:after="0"/>
            </w:pPr>
            <w:r>
              <w:rPr>
                <w:rFonts w:ascii="Calibri" w:hAnsi="Calibri"/>
                <w:i/>
                <w:color w:val="6B7280"/>
                <w:sz w:val="18"/>
              </w:rPr>
              <w:t>Versión docente final para revisión humana. Material propuesto y contextualizado a Chile; no corresponde a un programa oficial de la Pontificia Universidad Católica de Chile ni sustituye protocolos locales, supervisión clínica o evaluación especializada. Fuentes revisadas al 15 de agosto de 2026.</w:t>
            </w:r>
          </w:p>
        </w:tc>
      </w:tr>
    </w:tbl>
    <w:p>
      <w:r>
        <w:br w:type="page"/>
      </w:r>
    </w:p>
    <w:tbl>
      <w:tblPr>
        <w:tblW w:type="auto" w:w="0"/>
        <w:jc w:val="center"/>
        <w:tblLayout w:type="autofit"/>
        <w:tblLook w:firstColumn="1" w:firstRow="1" w:lastColumn="0" w:lastRow="0" w:noHBand="0" w:noVBand="1" w:val="04A0"/>
      </w:tblPr>
      <w:tblGrid>
        <w:gridCol w:w="9648"/>
      </w:tblGrid>
      <w:tr>
        <w:trPr>
          <w:tblHeader w:val="true"/>
        </w:trPr>
        <w:tc>
          <w:tcPr>
            <w:tcW w:type="dxa" w:w="9648"/>
            <w:vAlign w:val="center"/>
            <w:shd w:fill="EAF3F7"/>
            <w:tcBorders>
              <w:start w:val="single" w:sz="14" w:color="2A8C82"/>
            </w:tcBorders>
            <w:tcMar>
              <w:top w:w="130" w:type="dxa"/>
              <w:start w:w="190" w:type="dxa"/>
              <w:bottom w:w="130" w:type="dxa"/>
              <w:end w:w="190" w:type="dxa"/>
            </w:tcMar>
          </w:tcPr>
          <w:p>
            <w:pPr>
              <w:spacing w:after="0"/>
            </w:pPr>
            <w:r>
              <w:rPr>
                <w:b/>
                <w:color w:val="173A5E"/>
              </w:rPr>
              <w:t xml:space="preserve">PREGUNTA CLÍNICA  </w:t>
            </w:r>
            <w:r>
              <w:t>¿Cómo convertir la estabilización de un episodio en años de menor recurrencia, menor toxicidad y mejor funcionamiento?</w:t>
            </w:r>
          </w:p>
        </w:tc>
      </w:tr>
    </w:tbl>
    <w:p>
      <w:pPr>
        <w:spacing w:after="0"/>
      </w:pPr>
    </w:p>
    <w:tbl>
      <w:tblPr>
        <w:tblW w:type="auto" w:w="0"/>
        <w:jc w:val="center"/>
        <w:tblLayout w:type="autofit"/>
        <w:tblLook w:firstColumn="1" w:firstRow="1" w:lastColumn="0" w:lastRow="0" w:noHBand="0" w:noVBand="1" w:val="04A0"/>
      </w:tblPr>
      <w:tblGrid>
        <w:gridCol w:w="9648"/>
      </w:tblGrid>
      <w:tr>
        <w:trPr>
          <w:tblHeader w:val="true"/>
        </w:trPr>
        <w:tc>
          <w:tcPr>
            <w:tcW w:type="dxa" w:w="9648"/>
            <w:vAlign w:val="center"/>
            <w:shd w:fill="EAF6F3"/>
            <w:tcBorders>
              <w:start w:val="single" w:sz="14" w:color="2A8C82"/>
            </w:tcBorders>
            <w:tcMar>
              <w:top w:w="130" w:type="dxa"/>
              <w:start w:w="190" w:type="dxa"/>
              <w:bottom w:w="130" w:type="dxa"/>
              <w:end w:w="190" w:type="dxa"/>
            </w:tcMar>
          </w:tcPr>
          <w:p>
            <w:pPr>
              <w:spacing w:after="0"/>
            </w:pPr>
            <w:r>
              <w:rPr>
                <w:b/>
                <w:color w:val="173A5E"/>
              </w:rPr>
              <w:t xml:space="preserve">IDEA CENTRAL  </w:t>
            </w:r>
            <w:r>
              <w:t>La mantención no prolonga mecánicamente la receta de urgencia; construye un plan longitudinal que integra polaridad, respuesta, salud física, reproducción, continuidad, sueño y señales tempranas.</w:t>
            </w:r>
          </w:p>
        </w:tc>
      </w:tr>
    </w:tbl>
    <w:p>
      <w:pPr>
        <w:spacing w:after="0"/>
      </w:pPr>
    </w:p>
    <w:p>
      <w:pPr>
        <w:pStyle w:val="Heading1"/>
      </w:pPr>
      <w:r>
        <w:t>Por qué importa</w:t>
      </w:r>
    </w:p>
    <w:p>
      <w:r>
        <w:t>El alta después de una manía puede crear una ilusión de cierre. La persona duerme, conversa con mayor coherencia y desea suspender lo que atribuye a una crisis ya superada. Sin embargo, las semanas posteriores conservan riesgo de recaída, suicidio, efectos adversos y abandono. La prevención comienza antes del alta.</w:t>
      </w:r>
    </w:p>
    <w:p>
      <w:r>
        <w:t>Los tratamientos reducen recurrencias, pero cada uno exige vigilancia diferente. Litio puede ser eficaz y volverse tóxico con deshidratación o interacciones; valproato plantea riesgos metabólicos y reproductivos; antipsicóticos pueden producir diabetes o síntomas neurológicos. Monitorizar no es burocracia añadida: es parte del tratamiento.</w:t>
      </w:r>
    </w:p>
    <w:p>
      <w:pPr>
        <w:pStyle w:val="Heading1"/>
      </w:pPr>
      <w:r>
        <w:t>Objetivos de aprendizaje</w:t>
      </w:r>
    </w:p>
    <w:p>
      <w:pPr>
        <w:pStyle w:val="ListBullet"/>
      </w:pPr>
      <w:r>
        <w:t>Definir recuperación más allá de la ausencia de crisis.</w:t>
      </w:r>
    </w:p>
    <w:p>
      <w:pPr>
        <w:pStyle w:val="ListBullet"/>
      </w:pPr>
      <w:r>
        <w:t>Elegir tratamientos según trayectoria y polaridad predominante.</w:t>
      </w:r>
    </w:p>
    <w:p>
      <w:pPr>
        <w:pStyle w:val="ListBullet"/>
      </w:pPr>
      <w:r>
        <w:t>Monitorizar litio, valproato, lamotrigina y antipsicóticos.</w:t>
      </w:r>
    </w:p>
    <w:p>
      <w:pPr>
        <w:pStyle w:val="ListBullet"/>
      </w:pPr>
      <w:r>
        <w:t>Elaborar prevención de recaídas basada en sueño y señales tempranas.</w:t>
      </w:r>
    </w:p>
    <w:p>
      <w:pPr>
        <w:pStyle w:val="ListBullet"/>
      </w:pPr>
      <w:r>
        <w:t>Abordar deseos de suspensión mediante decisión compartida.</w:t>
      </w:r>
    </w:p>
    <w:p>
      <w:pPr>
        <w:pStyle w:val="ListBullet"/>
      </w:pPr>
      <w:r>
        <w:t>Integrar salud física y decisiones reproductivas.</w:t>
      </w:r>
    </w:p>
    <w:p>
      <w:pPr>
        <w:pStyle w:val="ListBullet"/>
      </w:pPr>
      <w:r>
        <w:t>Explicar con exactitud acceso y plazos del GES 75.</w:t>
      </w:r>
    </w:p>
    <w:p>
      <w:pPr>
        <w:pStyle w:val="Heading1"/>
      </w:pPr>
      <w:r>
        <w:t>Caso clínico</w:t>
      </w:r>
    </w:p>
    <w:p>
      <w:pPr>
        <w:shd w:fill="EAF3F7"/>
        <w:keepNext/>
        <w:keepLines/>
        <w:pBdr>
          <w:left w:val="single" w:sz="8" w:space="8" w:color="246B8E"/>
        </w:pBdr>
        <w:ind w:left="173" w:right="86"/>
      </w:pPr>
      <w:r>
        <w:t>Felipe, de 40 años, fue dado de alta después de su segunda manía psicótica. Está eutímico y atribuye el episodio al estrés laboral. Quiere suspender litio porque “ya está bien”, usa ibuprofeno con frecuencia por dolor lumbar y planea entrenar para una maratón. Su pareja observa que antes de ambos episodios dejó de dormir, aumentó proyectos y comenzó a hablar más rápido.</w:t>
      </w:r>
    </w:p>
    <w:p>
      <w:pPr>
        <w:shd w:fill="EAF3F7"/>
        <w:keepLines/>
        <w:pBdr>
          <w:left w:val="single" w:sz="8" w:space="8" w:color="246B8E"/>
        </w:pBdr>
        <w:ind w:left="173" w:right="86"/>
      </w:pPr>
      <w:r>
        <w:t>La consulta debe integrar beneficio preventivo, interacción con AINE, hidratación durante ejercicio, monitorización renal y tiroidea y una firma personal de recaída. Amenazar con abandono de atención si suspende no mejora ni la alianza ni la farmacocinética. Se necesita información, negociación y un plan seguro.</w:t>
      </w:r>
    </w:p>
    <w:p>
      <w:pPr>
        <w:pStyle w:val="Heading1"/>
      </w:pPr>
      <w:r>
        <w:t>Recuperación y objetivos de mantención</w:t>
      </w:r>
    </w:p>
    <w:p>
      <w:r>
        <w:t>Recuperación incluye remisión sintomática, prevención de manía y depresión, funcionamiento, relaciones, salud física y proyecto vital. Pueden persistir síntomas cognitivos, alteraciones del sueño o dificultades laborales sin un episodio completo. Requieren evaluación y rehabilitación, no sólo renovación de recetas.</w:t>
      </w:r>
    </w:p>
    <w:p>
      <w:r>
        <w:t>Después de cada episodio se revisan precipitantes, sustancias, adherencia, señales tempranas y respuesta. La combinación utilizada en urgencia puede mantenerse inicialmente y simplificarse cuando sea seguro. Cada componente necesita un objetivo. Polifarmacia indefinida sin justificación aumenta carga y dificulta saber qué aporta beneficio.</w:t>
      </w:r>
    </w:p>
    <w:p>
      <w:r>
        <w:t>La continuidad está influida por insight, efectos adversos, costo, estigma, rutinas y preferencias. Explorar por qué alguien desea suspender suele ser más productivo que repetir que “debe tomarlo de por vida”.</w:t>
      </w:r>
    </w:p>
    <w:p>
      <w:pPr>
        <w:pStyle w:val="Heading1"/>
      </w:pPr>
      <w:r>
        <w:t>Elegir mantención según la trayectoria</w:t>
      </w:r>
    </w:p>
    <w:p>
      <w:r>
        <w:t>Litio ofrece prevención sólida de episodios maníacos y depresivos, especialmente después de una buena respuesta, y la evidencia disponible respalda una asociación protectora frente a conducta suicida. Esto no lo convierte en una intervención suficiente para una crisis suicida aguda. Es más apropiado cuando existe capacidad para controles, comprensión de toxicidad y estabilidad razonable de hidratación y función renal.</w:t>
      </w:r>
    </w:p>
    <w:p>
      <w:r>
        <w:t>Valproato se utiliza con frecuencia cuando predominan episodios maníacos o mixtos, pero obliga a considerar hígado, hematología, peso y reproducción. Lamotrigina es más eficaz para prevenir recurrencias depresivas que maníacas y no controla manía aguda. Quetiapina y otros antipsicóticos pueden ofrecer prevención según polaridad y respuesta, con perfiles metabólicos, neurológicos o endocrinos variables.</w:t>
      </w:r>
    </w:p>
    <w:p>
      <w:r>
        <w:t>Los inyectables de acción prolongada pueden ayudar cuando las recaídas maníacas se relacionan con discontinuidad o cuando la persona los prefiere. Deben ofrecerse mediante decisión compartida, no como castigo. La elección integra episodios predominantes, respuesta previa, enfermedad médica, embarazo, interacciones, costo y disponibilidad.</w:t>
      </w:r>
    </w:p>
    <w:p>
      <w:pPr>
        <w:pStyle w:val="Heading1"/>
      </w:pPr>
      <w:r>
        <w:t>Litio con seguridad</w:t>
      </w:r>
    </w:p>
    <w:p>
      <w:r>
        <w:t>Antes de iniciar se revisan peso o IMC, hemograma, electrolitos, calcio, creatinina y filtrado, TSH y embarazo cuando corresponda; se solicita ECG ante enfermedad o riesgo cardiovascular. El nivel plasmático se interpreta como valle, habitualmente cerca de doce horas después de la última dosis. NICE indica medirlo una semana después de iniciar y una semana después de cada cambio de dosis, semanalmente hasta estabilización.</w:t>
      </w:r>
    </w:p>
    <w:p>
      <w:r>
        <w:t>El rango objetivo varía con fase, respuesta y tolerabilidad; una cifra única no reemplaza contexto. Función renal, tiroidea y calcio se controlan periódicamente. NICE recomienda, una vez estable, niveles cada tres meses durante el primer año y luego cada seis meses, o cada tres en personas de mayor riesgo; el protocolo local puede establecer frecuencias específicas.</w:t>
      </w:r>
    </w:p>
    <w:p>
      <w:r>
        <w:t>La educación cubre hidratación estable, fiebre, vómitos, diarrea, ejercicio intenso y cambios bruscos de sodio. AINE, tiazidas, inhibidores de la enzima convertidora y antagonistas del receptor de angiotensina pueden elevar niveles. Temblor grosero, ataxia, disartria, vómitos, diarrea, confusión, mioclonías o convulsiones sugieren toxicidad y requieren evaluación urgente. En cada control se buscan también signos de neurotoxicidad, porque pueden aparecer incluso con un nivel dentro del rango habitual.</w:t>
      </w:r>
    </w:p>
    <w:p>
      <w:pPr>
        <w:pStyle w:val="Heading1"/>
      </w:pPr>
      <w:r>
        <w:t>Monitorización de otras opciones</w:t>
      </w:r>
    </w:p>
    <w:p>
      <w:r>
        <w:t>Valproato requiere peso o IMC, hemograma y función hepática antes de iniciar, además de evaluación reproductiva. Como referencia, NICE repite peso, hemograma y función hepática a los seis meses y luego anualmente, con mayor frecuencia si la clínica lo exige. Los niveles no son un control rutinario universal: ayudan ante ajuste, sospecha de baja adherencia, falta de eficacia o toxicidad y siempre se interpretan junto con la clínica. Dolor abdominal intenso, ictericia, sangrado o alteración de conciencia requieren evaluación.</w:t>
      </w:r>
    </w:p>
    <w:p>
      <w:r>
        <w:t>Lamotrigina se titula gradualmente. Un exantema nuevo, especialmente con mucosas, fiebre o síntomas sistémicos, obliga a suspender y evaluar. Después de una interrupción relevante suele ser necesario retitular. Informar este punto previene reinicios inseguros.</w:t>
      </w:r>
    </w:p>
    <w:p>
      <w:r>
        <w:t>Con antipsicóticos se registran basalmente peso e IMC, cintura, pulso y presión, glucosa o HbA1c, lípidos, síntomas extrapiramidales y estado nutricional; prolactina y ECG se solicitan cuando corresponda. El peso requiere seguimiento precoz y los parámetros metabólicos se repiten alrededor de tres meses y luego conforme a riesgo y protocolo. Sedación, cognición, sexualidad y capacidad para conducir influyen directamente en continuidad aunque no aparezcan en el laboratorio. Toda persona con bipolaridad necesita vigilancia de salud física al menos anual, con mayor frecuencia según tratamiento.</w:t>
      </w:r>
    </w:p>
    <w:p>
      <w:pPr>
        <w:pStyle w:val="Heading1"/>
      </w:pPr>
      <w:r>
        <w:t>Prevención de recaídas</w:t>
      </w:r>
    </w:p>
    <w:p>
      <w:r>
        <w:t>Cada persona suele tener una firma temprana: reducción del sueño, aumento del habla, proyectos, gastos, irritabilidad, aislamiento o cambio de apetito. El plan debe señalar el signo, la acción concreta, el contacto del equipo y el criterio de urgencia. Incluir a una persona significativa, con autorización, aumenta la detección cuando disminuye el insight.</w:t>
      </w:r>
    </w:p>
    <w:p>
      <w:r>
        <w:t>La regularidad de ritmos y la protección del sueño son intervenciones mayores. Turnos nocturnos, viajes, estimulantes y privación deliberada pueden precipitar inestabilidad. Psicoeducación, terapia interpersonal y de ritmos sociales, terapia cognitivo-conductual e intervención familiar pueden reducir recurrencia y mejorar funcionamiento.</w:t>
      </w:r>
    </w:p>
    <w:p>
      <w:r>
        <w:t>Alcohol, cannabis y estimulantes se abordan explícitamente. La familia apoya, pero no se transforma automáticamente en propietaria de la información ni supervisora coercitiva. El plan también considera acceso a medios letales después de episodios depresivos o mixtos.</w:t>
      </w:r>
    </w:p>
    <w:p>
      <w:pPr>
        <w:pStyle w:val="Heading1"/>
      </w:pPr>
      <w:r>
        <w:t>Reproducción y suspensión</w:t>
      </w:r>
    </w:p>
    <w:p>
      <w:r>
        <w:t>Debe preguntarse por anticoncepción, deseo de embarazo, paternidad planificada y lactancia cuando sea relevante. Valproato debe evitarse durante el embarazo y, salvo circunstancias excepcionales, en personas con potencial de gestación. La actualización NICE 2025 también recoge una posible asociación —todavía no causalmente confirmada— entre exposición paterna alrededor de la concepción y trastornos del neurodesarrollo. Es una señal de seguridad internacional que obliga a conversación preconcepcional, pero las exigencias regulatorias británicas no deben copiarse como si fueran norma chilena: se verifica la ficha, la regulación y el protocolo local, sin suspender abruptamente.</w:t>
      </w:r>
    </w:p>
    <w:p>
      <w:r>
        <w:t>Si aparece un embarazo, suspender abruptamente un estabilizador puede precipitar recaída. Se compara riesgo fetal del fármaco con riesgo materno-fetal de la enfermedad y se coordina psiquiatría con obstetricia. La planificación preconcepcional permite escoger alternativas y preparar vigilancia del puerperio.</w:t>
      </w:r>
    </w:p>
    <w:p>
      <w:r>
        <w:t>Si una persona desea suspender, se exploran razones, comprensión, historia de recaídas y alternativas. Cuando la retirada es razonable o persiste tras una decisión informada, debe ser gradual, especializada y acompañada por vigilancia, protección del sueño y plan de recaída. NICE recomienda continuar monitorización clínica durante dos años después de suspender completamente el tratamiento prolongado.</w:t>
      </w:r>
    </w:p>
    <w:p>
      <w:pPr>
        <w:pStyle w:val="Heading1"/>
      </w:pPr>
      <w:r>
        <w:t>GES 75 sin mitos</w:t>
      </w:r>
    </w:p>
    <w:p>
      <w:r>
        <w:t xml:space="preserve">El GES 75 comprende a personas de </w:t>
      </w:r>
      <w:r>
        <w:rPr>
          <w:b/>
        </w:rPr>
        <w:t>15 años y más</w:t>
      </w:r>
      <w:r>
        <w:t xml:space="preserve"> con trastorno bipolar. El acceso se activa con diagnóstico </w:t>
      </w:r>
      <w:r>
        <w:rPr>
          <w:b/>
        </w:rPr>
        <w:t>confirmado por médico especialista</w:t>
      </w:r>
      <w:r>
        <w:t xml:space="preserve">. El tratamiento debe iniciarse dentro de </w:t>
      </w:r>
      <w:r>
        <w:rPr>
          <w:b/>
        </w:rPr>
        <w:t>24 horas desde la confirmación diagnóstica</w:t>
      </w:r>
      <w:r>
        <w:t xml:space="preserve">. Cuando existe indicación médica de hospitalización, ésta debe concretarse dentro de </w:t>
      </w:r>
      <w:r>
        <w:rPr>
          <w:b/>
        </w:rPr>
        <w:t>24 horas desde la indicación</w:t>
      </w:r>
      <w:r>
        <w:t>.</w:t>
      </w:r>
    </w:p>
    <w:p>
      <w:r>
        <w:t>La ficha pública no establece un plazo para que el especialista confirme una sospecha; prometerlo sería inventar una garantía. Los plazos son máximos administrativos. Manía peligrosa, psicosis, suicidalidad o compromiso médico se atienden inmediatamente.</w:t>
      </w:r>
    </w:p>
    <w:p>
      <w:pPr>
        <w:pStyle w:val="Heading1"/>
      </w:pPr>
      <w:r>
        <w:t>Errores frecuentes</w:t>
      </w:r>
    </w:p>
    <w:p>
      <w:pPr>
        <w:pStyle w:val="ListBullet"/>
      </w:pPr>
      <w:r>
        <w:t>Mantener toda la combinación de urgencia sin revisar objetivos.</w:t>
      </w:r>
    </w:p>
    <w:p>
      <w:pPr>
        <w:pStyle w:val="ListBullet"/>
      </w:pPr>
      <w:r>
        <w:t>Medir litio sin registrar hora de la última dosis.</w:t>
      </w:r>
    </w:p>
    <w:p>
      <w:pPr>
        <w:pStyle w:val="ListBullet"/>
      </w:pPr>
      <w:r>
        <w:t>Ignorar AINE, deshidratación o cambios de sodio.</w:t>
      </w:r>
    </w:p>
    <w:p>
      <w:pPr>
        <w:pStyle w:val="ListBullet"/>
      </w:pPr>
      <w:r>
        <w:t>Utilizar valproato sin abordar reproducción.</w:t>
      </w:r>
    </w:p>
    <w:p>
      <w:pPr>
        <w:pStyle w:val="ListBullet"/>
      </w:pPr>
      <w:r>
        <w:t>Reiniciar lamotrigina a la dosis previa tras una interrupción prolongada.</w:t>
      </w:r>
    </w:p>
    <w:p>
      <w:pPr>
        <w:pStyle w:val="ListBullet"/>
      </w:pPr>
      <w:r>
        <w:t>Interpretar continuidad como obediencia y responder con amenazas.</w:t>
      </w:r>
    </w:p>
    <w:p>
      <w:pPr>
        <w:pStyle w:val="ListBullet"/>
      </w:pPr>
      <w:r>
        <w:t>Prometer un plazo GES de confirmación que no existe.</w:t>
      </w:r>
    </w:p>
    <w:p>
      <w:pPr>
        <w:pStyle w:val="Heading1"/>
      </w:pPr>
      <w:r>
        <w:t>Para recordar</w:t>
      </w:r>
    </w:p>
    <w:p>
      <w:pPr>
        <w:spacing w:after="60" w:line="288" w:lineRule="auto"/>
        <w:ind w:left="432" w:hanging="216"/>
        <w:shd w:fill="EAF6F3"/>
        <w:keepNext/>
        <w:keepLines/>
        <w:pBdr>
          <w:left w:val="single" w:sz="8" w:space="8" w:color="2A8C82"/>
        </w:pBdr>
      </w:pPr>
      <w:r>
        <w:t>1. La mantención se diseña desde la trayectoria y polaridad predominante.</w:t>
      </w:r>
    </w:p>
    <w:p>
      <w:pPr>
        <w:spacing w:after="60" w:line="288" w:lineRule="auto"/>
        <w:ind w:left="432" w:hanging="216"/>
        <w:shd w:fill="EAF6F3"/>
        <w:keepNext/>
        <w:keepLines/>
        <w:pBdr>
          <w:left w:val="single" w:sz="8" w:space="8" w:color="2A8C82"/>
        </w:pBdr>
      </w:pPr>
      <w:r>
        <w:t>2. Monitorizar toxicidad y salud física es parte central del tratamiento.</w:t>
      </w:r>
    </w:p>
    <w:p>
      <w:pPr>
        <w:spacing w:after="60" w:line="288" w:lineRule="auto"/>
        <w:ind w:left="432" w:hanging="216"/>
        <w:shd w:fill="EAF6F3"/>
        <w:keepNext/>
        <w:keepLines/>
        <w:pBdr>
          <w:left w:val="single" w:sz="8" w:space="8" w:color="2A8C82"/>
        </w:pBdr>
      </w:pPr>
      <w:r>
        <w:t>3. Sueño y señales tempranas permiten intervenir antes de una recaída completa.</w:t>
      </w:r>
    </w:p>
    <w:p>
      <w:pPr>
        <w:spacing w:after="60" w:line="288" w:lineRule="auto"/>
        <w:ind w:left="432" w:hanging="216"/>
        <w:shd w:fill="EAF6F3"/>
        <w:keepNext/>
        <w:keepLines/>
        <w:pBdr>
          <w:left w:val="single" w:sz="8" w:space="8" w:color="2A8C82"/>
        </w:pBdr>
      </w:pPr>
      <w:r>
        <w:t>4. Las decisiones reproductivas deben anticiparse.</w:t>
      </w:r>
    </w:p>
    <w:p>
      <w:pPr>
        <w:spacing w:after="60" w:line="288" w:lineRule="auto"/>
        <w:ind w:left="432" w:hanging="216"/>
        <w:shd w:fill="EAF6F3"/>
        <w:keepLines/>
        <w:pBdr>
          <w:left w:val="single" w:sz="8" w:space="8" w:color="2A8C82"/>
        </w:pBdr>
      </w:pPr>
      <w:r>
        <w:t>5. GES garantiza oportunidad; una urgencia clínica se atiende de inmediato.</w:t>
      </w:r>
    </w:p>
    <w:p>
      <w:pPr>
        <w:pStyle w:val="Heading1"/>
      </w:pPr>
      <w:r>
        <w:t>Bibliografía esencial</w:t>
      </w:r>
    </w:p>
    <w:p>
      <w:pPr>
        <w:pStyle w:val="Bibliography"/>
      </w:pPr>
      <w:r>
        <w:t xml:space="preserve">• National Institute for Health and Care Excellence. </w:t>
      </w:r>
      <w:r>
        <w:rPr>
          <w:i/>
        </w:rPr>
        <w:t>Bipolar disorder: assessment and management</w:t>
      </w:r>
      <w:r>
        <w:t xml:space="preserve">. Clinical guideline CG185, actualización 2025. </w:t>
      </w:r>
      <w:hyperlink r:id="rId50">
        <w:r>
          <w:rPr>
            <w:color w:val="246B8E"/>
            <w:u w:val="single"/>
          </w:rPr>
          <w:t>Recomendaciones</w:t>
        </w:r>
      </w:hyperlink>
      <w:r>
        <w:t>.</w:t>
      </w:r>
    </w:p>
    <w:p>
      <w:pPr>
        <w:pStyle w:val="Bibliography"/>
      </w:pPr>
      <w:r>
        <w:t xml:space="preserve">• Department of Veterans Affairs &amp; Department of Defense. </w:t>
      </w:r>
      <w:r>
        <w:rPr>
          <w:i/>
        </w:rPr>
        <w:t>Clinical Practice Guideline for the Management of Bipolar Disorder</w:t>
      </w:r>
      <w:r>
        <w:t xml:space="preserve">. 2023. </w:t>
      </w:r>
      <w:hyperlink r:id="rId52">
        <w:r>
          <w:rPr>
            <w:color w:val="246B8E"/>
            <w:u w:val="single"/>
          </w:rPr>
          <w:t>Guía y materiales</w:t>
        </w:r>
      </w:hyperlink>
      <w:r>
        <w:t>.</w:t>
      </w:r>
    </w:p>
    <w:p>
      <w:pPr>
        <w:pStyle w:val="Bibliography"/>
      </w:pPr>
      <w:r>
        <w:t xml:space="preserve">• Keramatian K, Chithra NK, Yatham LN. The CANMAT and ISBD Guidelines for the Treatment of Bipolar Disorder: Summary and a 2023 Update of Evidence. </w:t>
      </w:r>
      <w:r>
        <w:rPr>
          <w:i/>
        </w:rPr>
        <w:t>Focus</w:t>
      </w:r>
      <w:r>
        <w:t xml:space="preserve">. 2023;21(4):344-353. </w:t>
      </w:r>
      <w:hyperlink r:id="rId51">
        <w:r>
          <w:rPr>
            <w:color w:val="246B8E"/>
            <w:u w:val="single"/>
          </w:rPr>
          <w:t>Texto completo</w:t>
        </w:r>
      </w:hyperlink>
      <w:r>
        <w:t>.</w:t>
      </w:r>
    </w:p>
    <w:p>
      <w:pPr>
        <w:pStyle w:val="Bibliography"/>
      </w:pPr>
      <w:r>
        <w:t xml:space="preserve">• Ministerio de Salud de Chile. </w:t>
      </w:r>
      <w:r>
        <w:rPr>
          <w:i/>
        </w:rPr>
        <w:t>GES 75: Trastorno bipolar en personas de 15 años y más</w:t>
      </w:r>
      <w:r>
        <w:t xml:space="preserve">. Portal AUGE/GES, normativa vigente. </w:t>
      </w:r>
      <w:hyperlink r:id="rId54">
        <w:r>
          <w:rPr>
            <w:color w:val="246B8E"/>
            <w:u w:val="single"/>
          </w:rPr>
          <w:t>Ficha oficial</w:t>
        </w:r>
      </w:hyperlink>
      <w:r>
        <w:t>.</w:t>
      </w:r>
    </w:p>
    <w:p>
      <w:pPr>
        <w:pStyle w:val="Bibliography"/>
      </w:pPr>
      <w:r>
        <w:t xml:space="preserve">• Malhi GS, Bell E, Bassett D, et al. The 2020 Royal Australian and New Zealand College of Psychiatrists clinical practice guidelines for mood disorders. </w:t>
      </w:r>
      <w:r>
        <w:rPr>
          <w:i/>
        </w:rPr>
        <w:t>Aust N Z J Psychiatry</w:t>
      </w:r>
      <w:r>
        <w:t xml:space="preserve">. 2021;55(1):7-117. </w:t>
      </w:r>
      <w:hyperlink r:id="rId56">
        <w:r>
          <w:rPr>
            <w:color w:val="246B8E"/>
            <w:u w:val="single"/>
          </w:rPr>
          <w:t>Artículo</w:t>
        </w:r>
      </w:hyperlink>
      <w:r>
        <w:t>.</w:t>
      </w:r>
    </w:p>
    <w:p>
      <w:r>
        <w:br w:type="page"/>
      </w:r>
    </w:p>
    <w:p>
      <w:pPr>
        <w:spacing w:after="480"/>
      </w:pPr>
      <w:r>
        <w:rPr>
          <w:rFonts w:ascii="Calibri" w:hAnsi="Calibri"/>
          <w:b/>
          <w:color w:val="2A8C82"/>
          <w:sz w:val="20"/>
        </w:rPr>
        <w:t>CAPÍTULO 21 · MATERIAL PARA ESTUDIANTES</w:t>
      </w:r>
    </w:p>
    <w:tbl>
      <w:tblPr>
        <w:tblW w:type="auto" w:w="0"/>
        <w:jc w:val="left"/>
        <w:tblLayout w:type="fixed"/>
        <w:tblLook w:firstColumn="1" w:firstRow="1" w:lastColumn="0" w:lastRow="0" w:noHBand="0" w:noVBand="1" w:val="04A0"/>
      </w:tblPr>
      <w:tblGrid>
        <w:gridCol w:w="9648"/>
      </w:tblGrid>
      <w:tr>
        <w:trPr>
          <w:tblHeader w:val="true"/>
        </w:trPr>
        <w:tc>
          <w:tcPr>
            <w:tcW w:type="dxa" w:w="9072"/>
            <w:shd w:fill="173A5E"/>
            <w:tcMar>
              <w:top w:w="120" w:type="dxa"/>
              <w:start w:w="220" w:type="dxa"/>
              <w:bottom w:w="120" w:type="dxa"/>
              <w:end w:w="220" w:type="dxa"/>
            </w:tcMar>
          </w:tcPr>
          <w:p>
            <w:pPr>
              <w:spacing w:after="0"/>
            </w:pPr>
            <w:r>
              <w:rPr>
                <w:rFonts w:ascii="Calibri" w:hAnsi="Calibri"/>
                <w:b/>
                <w:color w:val="FFFFFF"/>
                <w:sz w:val="19"/>
              </w:rPr>
              <w:t>MÓDULO II · PATOLOGÍAS, GES Y TRATAMIENTOS</w:t>
            </w:r>
          </w:p>
        </w:tc>
      </w:tr>
    </w:tbl>
    <w:p>
      <w:pPr>
        <w:pStyle w:val="Title"/>
        <w:spacing w:before="520" w:after="360"/>
        <w:outlineLvl w:val="0"/>
      </w:pPr>
      <w:bookmarkStart w:id="1021" w:name="chapter_21"/>
      <w:r>
        <w:t>Primer episodio psicótico: reconocimiento, estudio y manejo inicial</w:t>
      </w:r>
      <w:bookmarkEnd w:id="1021"/>
    </w:p>
    <w:p>
      <w:pPr>
        <w:spacing w:after="80"/>
      </w:pPr>
      <w:r>
        <w:rPr>
          <w:rFonts w:ascii="Calibri" w:hAnsi="Calibri"/>
          <w:b/>
          <w:color w:val="246B8E"/>
          <w:sz w:val="26"/>
        </w:rPr>
        <w:t>Programa de Psiquiatría para internos de Medicina</w:t>
      </w:r>
    </w:p>
    <w:p>
      <w:r>
        <w:rPr>
          <w:rFonts w:ascii="Calibri" w:hAnsi="Calibri"/>
          <w:color w:val="6B7280"/>
          <w:sz w:val="22"/>
        </w:rPr>
        <w:t>Lectura complementaria · Chile · Versión final para revisión humana · 2026</w:t>
      </w:r>
    </w:p>
    <w:p/>
    <w:p/>
    <w:p/>
    <w:p/>
    <w:p/>
    <w:tbl>
      <w:tblPr>
        <w:tblW w:type="auto" w:w="0"/>
        <w:jc w:val="left"/>
        <w:tblLayout w:type="fixed"/>
        <w:tblLook w:firstColumn="1" w:firstRow="1" w:lastColumn="0" w:lastRow="0" w:noHBand="0" w:noVBand="1" w:val="04A0"/>
      </w:tblPr>
      <w:tblGrid>
        <w:gridCol w:w="9648"/>
      </w:tblGrid>
      <w:tr>
        <w:trPr>
          <w:tblHeader w:val="true"/>
        </w:trPr>
        <w:tc>
          <w:tcPr>
            <w:tcW w:type="dxa" w:w="9648"/>
            <w:shd w:fill="F3F5F6"/>
            <w:tcBorders>
              <w:start w:val="single" w:sz="18" w:color="2A8C82"/>
            </w:tcBorders>
            <w:tcMar>
              <w:top w:w="160" w:type="dxa"/>
              <w:start w:w="220" w:type="dxa"/>
              <w:bottom w:w="160" w:type="dxa"/>
              <w:end w:w="220" w:type="dxa"/>
            </w:tcMar>
          </w:tcPr>
          <w:p>
            <w:pPr>
              <w:spacing w:after="0"/>
            </w:pPr>
            <w:r>
              <w:rPr>
                <w:rFonts w:ascii="Calibri" w:hAnsi="Calibri"/>
                <w:i/>
                <w:color w:val="6B7280"/>
                <w:sz w:val="18"/>
              </w:rPr>
              <w:t>Versión docente final para revisión humana. Material propuesto y contextualizado a Chile; no corresponde a un programa oficial de la Pontificia Universidad Católica de Chile ni sustituye protocolos locales, supervisión clínica o evaluación especializada. Fuentes revisadas al 15 de agosto de 2026.</w:t>
            </w:r>
          </w:p>
        </w:tc>
      </w:tr>
    </w:tbl>
    <w:p>
      <w:r>
        <w:br w:type="page"/>
      </w:r>
    </w:p>
    <w:tbl>
      <w:tblPr>
        <w:tblW w:type="auto" w:w="0"/>
        <w:jc w:val="center"/>
        <w:tblLayout w:type="autofit"/>
        <w:tblLook w:firstColumn="1" w:firstRow="1" w:lastColumn="0" w:lastRow="0" w:noHBand="0" w:noVBand="1" w:val="04A0"/>
      </w:tblPr>
      <w:tblGrid>
        <w:gridCol w:w="9648"/>
      </w:tblGrid>
      <w:tr>
        <w:trPr>
          <w:tblHeader w:val="true"/>
        </w:trPr>
        <w:tc>
          <w:tcPr>
            <w:tcW w:type="dxa" w:w="9648"/>
            <w:vAlign w:val="center"/>
            <w:shd w:fill="EAF3F7"/>
            <w:tcBorders>
              <w:start w:val="single" w:sz="14" w:color="2A8C82"/>
            </w:tcBorders>
            <w:tcMar>
              <w:top w:w="130" w:type="dxa"/>
              <w:start w:w="190" w:type="dxa"/>
              <w:bottom w:w="130" w:type="dxa"/>
              <w:end w:w="190" w:type="dxa"/>
            </w:tcMar>
          </w:tcPr>
          <w:p>
            <w:pPr>
              <w:spacing w:after="0"/>
            </w:pPr>
            <w:r>
              <w:rPr>
                <w:b/>
                <w:color w:val="173A5E"/>
              </w:rPr>
              <w:t xml:space="preserve">PREGUNTA CLÍNICA  </w:t>
            </w:r>
            <w:r>
              <w:t>¿Cómo evaluar una primera presentación psicótica sin omitir una emergencia médica ni retrasar innecesariamente el tratamiento y la continuidad de cuidados?</w:t>
            </w:r>
          </w:p>
        </w:tc>
      </w:tr>
    </w:tbl>
    <w:p>
      <w:pPr>
        <w:spacing w:after="0"/>
      </w:pPr>
    </w:p>
    <w:tbl>
      <w:tblPr>
        <w:tblW w:type="auto" w:w="0"/>
        <w:jc w:val="center"/>
        <w:tblLayout w:type="autofit"/>
        <w:tblLook w:firstColumn="1" w:firstRow="1" w:lastColumn="0" w:lastRow="0" w:noHBand="0" w:noVBand="1" w:val="04A0"/>
      </w:tblPr>
      <w:tblGrid>
        <w:gridCol w:w="9648"/>
      </w:tblGrid>
      <w:tr>
        <w:trPr>
          <w:tblHeader w:val="true"/>
        </w:trPr>
        <w:tc>
          <w:tcPr>
            <w:tcW w:type="dxa" w:w="9648"/>
            <w:vAlign w:val="center"/>
            <w:shd w:fill="EAF6F3"/>
            <w:tcBorders>
              <w:start w:val="single" w:sz="14" w:color="2A8C82"/>
            </w:tcBorders>
            <w:tcMar>
              <w:top w:w="130" w:type="dxa"/>
              <w:start w:w="190" w:type="dxa"/>
              <w:bottom w:w="130" w:type="dxa"/>
              <w:end w:w="190" w:type="dxa"/>
            </w:tcMar>
          </w:tcPr>
          <w:p>
            <w:pPr>
              <w:spacing w:after="0"/>
            </w:pPr>
            <w:r>
              <w:rPr>
                <w:b/>
                <w:color w:val="173A5E"/>
              </w:rPr>
              <w:t xml:space="preserve">IDEA CENTRAL  </w:t>
            </w:r>
            <w:r>
              <w:t>“primer episodio psicótico” describe una situación clínica, no una etiología definitiva. La tarea inicial es confirmar el síndrome, detectar causas y riesgos urgentes, formular hipótesis y asegurar seguimiento precoz.</w:t>
            </w:r>
          </w:p>
        </w:tc>
      </w:tr>
    </w:tbl>
    <w:p>
      <w:pPr>
        <w:spacing w:after="0"/>
      </w:pPr>
    </w:p>
    <w:p>
      <w:pPr>
        <w:pStyle w:val="Heading1"/>
      </w:pPr>
      <w:r>
        <w:t>Por qué importa</w:t>
      </w:r>
    </w:p>
    <w:p>
      <w:r>
        <w:t>Una primera psicosis puede ser la manifestación inicial de un trastorno del espectro de la esquizofrenia, un episodio afectivo, una intoxicación, un efecto farmacológico, delirium o una enfermedad neurológica. Diagnosticar “esquizofrenia” por una voz aislada es prematuro; atribuir el cuadro a cannabis sólo porque existe consumo también lo es. El seguimiento longitudinal completa una parte del diagnóstico que ninguna batería de exámenes resuelve en una sola atención.</w:t>
      </w:r>
    </w:p>
    <w:p>
      <w:r>
        <w:t>La intervención oportuna importa: una duración prolongada de psicosis no tratada se asocia en promedio a peores resultados. Pero rapidez no significa automatismo. En presencia de inatención, catatonía, fiebre, convulsiones o focalidad neurológica, aumentar antipsicóticos sin estudiar la causa puede ser peligroso.</w:t>
      </w:r>
    </w:p>
    <w:p>
      <w:pPr>
        <w:pStyle w:val="Heading1"/>
      </w:pPr>
      <w:r>
        <w:t>Objetivos de aprendizaje</w:t>
      </w:r>
    </w:p>
    <w:p>
      <w:pPr>
        <w:pStyle w:val="ListBullet"/>
      </w:pPr>
      <w:r>
        <w:t>Confirmar la presencia de un síndrome psicótico y describir sus dominios.</w:t>
      </w:r>
    </w:p>
    <w:p>
      <w:pPr>
        <w:pStyle w:val="ListBullet"/>
      </w:pPr>
      <w:r>
        <w:t>Reconstruir el comienzo, el deterioro funcional y la relación temporal con ánimo, sustancias y fármacos.</w:t>
      </w:r>
    </w:p>
    <w:p>
      <w:pPr>
        <w:pStyle w:val="ListBullet"/>
      </w:pPr>
      <w:r>
        <w:t>Reconocer delirium, catatonía, intoxicación y señales neurológicas de urgencia.</w:t>
      </w:r>
    </w:p>
    <w:p>
      <w:pPr>
        <w:pStyle w:val="ListBullet"/>
      </w:pPr>
      <w:r>
        <w:t>Seleccionar un estudio médico inicial guiado por la historia y el examen.</w:t>
      </w:r>
    </w:p>
    <w:p>
      <w:pPr>
        <w:pStyle w:val="ListBullet"/>
      </w:pPr>
      <w:r>
        <w:t>Formular un diferencial provisional entre psicosis primaria, afectiva, inducida y secundaria.</w:t>
      </w:r>
    </w:p>
    <w:p>
      <w:pPr>
        <w:pStyle w:val="ListBullet"/>
      </w:pPr>
      <w:r>
        <w:t>Comunicarse sin confrontar ni reforzar creencias delirantes.</w:t>
      </w:r>
    </w:p>
    <w:p>
      <w:pPr>
        <w:pStyle w:val="ListBullet"/>
      </w:pPr>
      <w:r>
        <w:t>Definir nivel de cuidado, tratamiento inicial y continuidad asistencial.</w:t>
      </w:r>
    </w:p>
    <w:p>
      <w:pPr>
        <w:pStyle w:val="Heading1"/>
      </w:pPr>
      <w:r>
        <w:t>Caso clínico</w:t>
      </w:r>
    </w:p>
    <w:p>
      <w:pPr>
        <w:shd w:fill="EAF3F7"/>
        <w:keepLines/>
        <w:pBdr>
          <w:left w:val="single" w:sz="8" w:space="8" w:color="246B8E"/>
        </w:pBdr>
        <w:ind w:left="173" w:right="86"/>
      </w:pPr>
      <w:r>
        <w:t>Juan, de 20 años, dejó la universidad, invirtió el ciclo sueño-vigilia y se aisló progresivamente durante dos meses. En la última semana afirmó que sus compañeros insertaban mensajes en TikTok para vigilarlo y comenzó a oír una voz que comentaba sus acciones. Consume cannabis casi todos los días. Está vigil y orientado, pero desconfía de su familia y rechaza exámenes porque teme que compartan sus datos. El cuadro contiene síntomas psicóticos, deterioro y exposición a una sustancia. Todavía no demuestra esquizofrenia ni una psicosis inducida por cannabis. La decisión inmediata depende de conciencia, riesgos, examen médico, posibilidad de colaboración y soporte disponible.</w:t>
      </w:r>
    </w:p>
    <w:p>
      <w:pPr>
        <w:pStyle w:val="Heading1"/>
      </w:pPr>
      <w:r>
        <w:t>Confirmar que existe psicosis</w:t>
      </w:r>
    </w:p>
    <w:p>
      <w:r>
        <w:t>Los dominios centrales incluyen delirios, alucinaciones, pensamiento o lenguaje desorganizado y conducta marcadamente desorganizada. La convicción, la resistencia a evidencia, el contexto cultural, la interferencia y la conducta derivada ayudan a caracterizar una creencia. Ninguna propiedad aislada define todos los delirios. Una experiencia perceptiva ocasional, una sospecha plausible o una creencia culturalmente compartida no equivalen automáticamente a psicosis.</w:t>
      </w:r>
    </w:p>
    <w:p>
      <w:r>
        <w:t>También deben explorarse síntomas negativos: disminución de expresión emocional, alogia, avolición, anhedonia y retraimiento. Antes de considerarlos primarios se revisan depresión, ansiedad, sedación, efectos extrapiramidales, consumo y privación social. Cognición, ánimo, ansiedad, sueño y trauma forman parte del cuadro aunque no sean “síntomas psicóticos”.</w:t>
      </w:r>
    </w:p>
    <w:p>
      <w:r>
        <w:t>La descripción precede a la etiología. “Voz en tercera persona que comenta acciones, diaria, atribuida a compañeros y asociada a evitar salir” informa más que “alucinaciones positivas”. Se distingue lo referido de lo observado: sonreír o detenerse sin estímulo visible puede sugerir una experiencia interna, pero no la confirma.</w:t>
      </w:r>
    </w:p>
    <w:p>
      <w:r>
        <w:t>En personas con experiencias atenuadas o transitorias, el sufrimiento y el deterioro requieren atención aunque todavía no exista un trastorno psicótico definido. No debe administrarse antipsicótico sólo para prevenir una posible conversión futura sin evaluación especializada.</w:t>
      </w:r>
    </w:p>
    <w:p>
      <w:pPr>
        <w:pStyle w:val="Heading1"/>
      </w:pPr>
      <w:r>
        <w:t>Reconstruir el comienzo y la trayectoria</w:t>
      </w:r>
    </w:p>
    <w:p>
      <w:r>
        <w:t>Se pregunta cuándo comenzó el cambio respecto del basal en estudio, trabajo, relaciones, autocuidado y ritmos. Un período prodrómico puede incluir aislamiento, ansiedad, deterioro y experiencias inusuales, pero es inespecífico y no permite predecir con certeza quién desarrollará esquizofrenia. Conviene estimar por separado el inicio de cambios no específicos y el de síntomas psicóticos francos.</w:t>
      </w:r>
    </w:p>
    <w:p>
      <w:r>
        <w:t>La cronología incluye progresión o fluctuación, acontecimientos precipitantes, privación de sueño, trauma, medicamentos y sustancias. Se exploran episodios depresivos y maníacos antes, durante y después de la psicosis. Si los síntomas psicóticos aparecen exclusivamente durante un episodio afectivo, la hipótesis difiere de una psicosis autónoma.</w:t>
      </w:r>
    </w:p>
    <w:p>
      <w:r>
        <w:t>La información colateral puede establecer deterioro, conducta reciente y exposición. Se registra quién observó cada hecho. Un familiar puede llamar “paranoia” al encierro por ansiedad social o, en sentido contrario, normalizar un cambio grave. Fichas, recetas y registros académicos aportan una perspectiva adicional, no una verdad infalible.</w:t>
      </w:r>
    </w:p>
    <w:p>
      <w:r>
        <w:t>La duración de psicosis no tratada debe reducirse mediante acceso y continuidad. No justifica saltarse el descarte médico ni etiquetar prematuramente. El diagnóstico inicial puede formularse como “primer episodio psicótico en estudio” acompañado de hipótesis jerarquizadas.</w:t>
      </w:r>
    </w:p>
    <w:p>
      <w:pPr>
        <w:pStyle w:val="Heading1"/>
      </w:pPr>
      <w:r>
        <w:t>Identificar lo que no puede esperar</w:t>
      </w:r>
    </w:p>
    <w:p>
      <w:r>
        <w:t>La evaluación comienza por estabilidad médica, signos vitales, glicemia y estado de conciencia. Inatención y fluctuación, especialmente con comienzo abrupto, obligan a considerar delirium. Intoxicación, abstinencia, hipoxia, hipoglicemia, infección, traumatismo y convulsiones pueden requerir intervención médica antes o en paralelo a la evaluación psiquiátrica.</w:t>
      </w:r>
    </w:p>
    <w:p>
      <w:r>
        <w:t>Mutismo, estupor, postura mantenida, negativismo, rigidez, ecolalia, ecopraxia o excitación sin propósito hacen sospechar catatonía. No se atribuyen automáticamente a “psicosis negativa”. La catatonía puede asociarse a trastornos afectivos, psicóticos, médicos o farmacológicos y requiere evaluación urgente. Iniciar o escalar antipsicóticos sin supervisión puede agravar determinadas presentaciones.</w:t>
      </w:r>
    </w:p>
    <w:p>
      <w:r>
        <w:t>Se exploran pensamientos suicidas, conductas recientes, agresión defensiva, abandono y vulnerabilidad. Las voces de mando no predicen por sí solas la conducta: se precisan contenido, relación atribuida con la voz, historia de obediencia, intención, control, intoxicación y acceso a medios. En violencia se consideran amenaza específica, planificación, antecedentes y persecutoriedad intensa sin afirmar que la psicosis implique peligrosidad.</w:t>
      </w:r>
    </w:p>
    <w:p>
      <w:r>
        <w:t>La capacidad se evalúa para cada decisión. Rechazar un examen no demuestra por sí solo incapacidad. Debe valorarse si la persona comprende información, aprecia su aplicación, razona alternativas y comunica una elección, dentro del marco legal chileno y con supervisión.</w:t>
      </w:r>
    </w:p>
    <w:p>
      <w:pPr>
        <w:pStyle w:val="Heading1"/>
      </w:pPr>
      <w:r>
        <w:t>Estudio médico dirigido</w:t>
      </w:r>
    </w:p>
    <w:p>
      <w:r>
        <w:t>El examen físico y neurológico incluye signos vitales, estado nutricional e hidratación, piel y signos de trauma o inyección, pupilas, movimientos, rigidez, marcha y focalidad según el caso. Un examen abreviado por falta de colaboración se documenta como tal.</w:t>
      </w:r>
    </w:p>
    <w:p>
      <w:r>
        <w:t>No existe un panel universal independiente del contexto. En muchos servicios se consideran hemograma, electrolitos, función renal y hepática, TSH y prueba de embarazo cuando corresponda. Glicemia o HbA1c, lípidos, peso, presión y movimientos anormales son además una línea basal si se iniciará un antipsicótico. Toxicología dirigida informa exposición dentro de una ventana: un resultado positivo no establece causalidad y uno negativo no excluye todas las sustancias.</w:t>
      </w:r>
    </w:p>
    <w:p>
      <w:r>
        <w:t>VIH, sífilis, vitamina B12/folato y otros estudios se solicitan según historia, examen y epidemiología. El ECG se indica por riesgo cardiovascular, fármaco planificado, combinaciones, síncope o contexto institucional. La neuroimagen no es rutinaria en toda primera psicosis, pero cobra prioridad ante focalidad, convulsión, cefalea nueva relevante, trauma, deterioro cognitivo, edad o curso atípicos.</w:t>
      </w:r>
    </w:p>
    <w:p>
      <w:r>
        <w:t>EEG se considera ante episodios compatibles con crisis o encefalopatía. Fiebre, convulsiones, disautonomía, catatonía, alteración de conciencia, movimientos anormales o progresión rápida pueden justificar punción lumbar y estudio infeccioso o autoinmune con neurología o medicina. No toda primera psicosis es encefalitis autoinmune; ignorar ese fenotipo cuando aparece es el error opuesto.</w:t>
      </w:r>
    </w:p>
    <w:p>
      <w:pPr>
        <w:pStyle w:val="Heading1"/>
      </w:pPr>
      <w:r>
        <w:t>Formular el diagnóstico diferencial</w:t>
      </w:r>
    </w:p>
    <w:p>
      <w:r>
        <w:t>El diferencial se organiza por temporalidad. En una psicosis primaria se consideran trastorno psicótico breve, esquizofreniforme, esquizofrenia, trastorno delirante y otros cuadros según duración y características. En psicosis afectivas se establece si existe un episodio maníaco o depresivo mayor que organiza la trayectoria. Delirium y trastornos neurocognitivos se jerarquizan cuando hay inatención, fluctuación o deterioro.</w:t>
      </w:r>
    </w:p>
    <w:p>
      <w:r>
        <w:t>Para atribuir el cuadro a una sustancia o medicamento se examinan dosis, patrón, comienzo respecto de exposición o abstinencia y persistencia posterior. Cannabis incrementa el riesgo y puede precipitar o agravar psicosis, pero la coexistencia no resuelve causalidad. Una abstinencia verificable y el seguimiento modifican la probabilidad.</w:t>
      </w:r>
    </w:p>
    <w:p>
      <w:r>
        <w:t>TOC con escaso insight, TEPT, fenómenos disociativos, autismo, experiencias culturalmente compartidas y alteraciones neurológicas pueden parecer psicóticas. El objetivo no es acumular diagnósticos, sino jerarquizar hipótesis que cambian las decisiones actuales.</w:t>
      </w:r>
    </w:p>
    <w:p>
      <w:pPr>
        <w:pStyle w:val="Heading1"/>
      </w:pPr>
      <w:r>
        <w:t>Comunicación, tratamiento y destino</w:t>
      </w:r>
    </w:p>
    <w:p>
      <w:r>
        <w:t>Se reconoce el sufrimiento sin afirmar la explicación delirante: “Entiendo que esto se siente real y amenazante. Yo no puedo confirmar que esas personas envíen mensajes, pero sí quiero ayudarle a estar seguro y entender qué ocurre”. Ridiculizar, interrogar agresivamente o fingir acuerdo deteriora la alianza.</w:t>
      </w:r>
    </w:p>
    <w:p>
      <w:r>
        <w:t>Si se inicia antipsicótico, se define un ensayo de monoterapia, con dosis inicial generalmente baja en primer episodio, síntomas diana, monitorización y revisión precoz. Sedación no equivale a respuesta antipsicótica. Dosis altas y combinaciones no compensan una evaluación incompleta. Las benzodiazepinas pueden utilizarse como apoyo breve en situaciones seleccionadas, con revisión de riesgos.</w:t>
      </w:r>
    </w:p>
    <w:p>
      <w:r>
        <w:t>La atención temprana debe integrar intervención familiar, apoyo psicológico, reducción de sustancias, salud física y objetivos educativos u ocupacionales. Se hospitaliza cuando existe riesgo no manejable, grave incapacidad de autocuidado, catatonía, causa médica, agitación no contenible o soporte ambulatorio insuficiente. Si el manejo es ambulatorio, se requiere control muy precoz, responsable identificable, plan de crisis y derivación a especialidad o programa de primer episodio. Esperar meses “hasta estar seguro del diagnóstico” es una forma elegante de abandono.</w:t>
      </w:r>
    </w:p>
    <w:p>
      <w:r>
        <w:t>En Chile, cuando la formulación incluye sospecha de primer episodio de esquizofrenia, debe activarse el circuito GES 15 sin esperar certeza longitudinal: la garantía contempla atención por especialista dentro de 20 días desde la derivación. Activarla no obliga a renombrar como esquizofrenia toda primera psicosis ni reemplaza la atención urgente que el estado clínico requiera.</w:t>
      </w:r>
    </w:p>
    <w:p>
      <w:r>
        <w:t>En Juan, el síndrome psicótico es claro; la etiología permanece abierta. Se requiere examen médico, caracterización del cannabis, evaluación de riesgo y un plan de continuidad. La formulación debe distinguir síndrome, hipótesis y decisiones inmediatas.</w:t>
      </w:r>
    </w:p>
    <w:p>
      <w:pPr>
        <w:pStyle w:val="Heading1"/>
      </w:pPr>
      <w:r>
        <w:t>Errores frecuentes</w:t>
      </w:r>
    </w:p>
    <w:p>
      <w:pPr>
        <w:pStyle w:val="ListBullet"/>
      </w:pPr>
      <w:r>
        <w:t>Llamar esquizofrenia a toda primera presentación psicótica.</w:t>
      </w:r>
    </w:p>
    <w:p>
      <w:pPr>
        <w:pStyle w:val="ListBullet"/>
      </w:pPr>
      <w:r>
        <w:t>Atribuir causalidad al cannabis por una toxicología positiva.</w:t>
      </w:r>
    </w:p>
    <w:p>
      <w:pPr>
        <w:pStyle w:val="ListBullet"/>
      </w:pPr>
      <w:r>
        <w:t>Omitir atención, conciencia, catatonía o examen neurológico.</w:t>
      </w:r>
    </w:p>
    <w:p>
      <w:pPr>
        <w:pStyle w:val="ListBullet"/>
      </w:pPr>
      <w:r>
        <w:t>Solicitar un panel indiscriminado o, en el extremo opuesto, no ampliar el estudio ante señales de alarma.</w:t>
      </w:r>
    </w:p>
    <w:p>
      <w:pPr>
        <w:pStyle w:val="ListBullet"/>
      </w:pPr>
      <w:r>
        <w:t>Discutir frontalmente un delirio o confirmarlo para “hacer alianza”.</w:t>
      </w:r>
    </w:p>
    <w:p>
      <w:pPr>
        <w:pStyle w:val="ListBullet"/>
      </w:pPr>
      <w:r>
        <w:t>Confundir sedación con tratamiento de la psicosis.</w:t>
      </w:r>
    </w:p>
    <w:p>
      <w:pPr>
        <w:pStyle w:val="ListBullet"/>
      </w:pPr>
      <w:r>
        <w:t>Dar alta o derivar sin responsable, plazo de control y plan de crisis.</w:t>
      </w:r>
    </w:p>
    <w:p>
      <w:pPr>
        <w:pStyle w:val="Heading1"/>
      </w:pPr>
      <w:r>
        <w:t>Para recordar</w:t>
      </w:r>
    </w:p>
    <w:p>
      <w:pPr>
        <w:spacing w:after="60" w:line="288" w:lineRule="auto"/>
        <w:ind w:left="432" w:hanging="216"/>
        <w:shd w:fill="EAF6F3"/>
        <w:keepNext/>
        <w:keepLines/>
        <w:pBdr>
          <w:left w:val="single" w:sz="8" w:space="8" w:color="2A8C82"/>
        </w:pBdr>
      </w:pPr>
      <w:r>
        <w:t>1. Primer episodio psicótico es un punto de partida clínico, no una etiología.</w:t>
      </w:r>
    </w:p>
    <w:p>
      <w:pPr>
        <w:spacing w:after="60" w:line="288" w:lineRule="auto"/>
        <w:ind w:left="432" w:hanging="216"/>
        <w:shd w:fill="EAF6F3"/>
        <w:keepNext/>
        <w:keepLines/>
        <w:pBdr>
          <w:left w:val="single" w:sz="8" w:space="8" w:color="2A8C82"/>
        </w:pBdr>
      </w:pPr>
      <w:r>
        <w:t>2. Delirium, catatonía y señales neurológicas cambian la urgencia y el tratamiento.</w:t>
      </w:r>
    </w:p>
    <w:p>
      <w:pPr>
        <w:spacing w:after="60" w:line="288" w:lineRule="auto"/>
        <w:ind w:left="432" w:hanging="216"/>
        <w:shd w:fill="EAF6F3"/>
        <w:keepNext/>
        <w:keepLines/>
        <w:pBdr>
          <w:left w:val="single" w:sz="8" w:space="8" w:color="2A8C82"/>
        </w:pBdr>
      </w:pPr>
      <w:r>
        <w:t>3. Una prueba toxicológica informa exposición, no causalidad.</w:t>
      </w:r>
    </w:p>
    <w:p>
      <w:pPr>
        <w:spacing w:after="60" w:line="288" w:lineRule="auto"/>
        <w:ind w:left="432" w:hanging="216"/>
        <w:shd w:fill="EAF6F3"/>
        <w:keepNext/>
        <w:keepLines/>
        <w:pBdr>
          <w:left w:val="single" w:sz="8" w:space="8" w:color="2A8C82"/>
        </w:pBdr>
      </w:pPr>
      <w:r>
        <w:t>4. La alianza valida el sufrimiento sin confirmar explicaciones delirantes.</w:t>
      </w:r>
    </w:p>
    <w:p>
      <w:pPr>
        <w:spacing w:after="60" w:line="288" w:lineRule="auto"/>
        <w:ind w:left="432" w:hanging="216"/>
        <w:shd w:fill="EAF6F3"/>
        <w:keepLines/>
        <w:pBdr>
          <w:left w:val="single" w:sz="8" w:space="8" w:color="2A8C82"/>
        </w:pBdr>
      </w:pPr>
      <w:r>
        <w:t>5. El seguimiento longitudinal completa lo que una sola entrevista sólo puede iniciar.</w:t>
      </w:r>
    </w:p>
    <w:p>
      <w:pPr>
        <w:pStyle w:val="Heading1"/>
      </w:pPr>
      <w:r>
        <w:t>Bibliografía esencial</w:t>
      </w:r>
    </w:p>
    <w:p>
      <w:pPr>
        <w:pStyle w:val="Bibliography"/>
      </w:pPr>
      <w:r>
        <w:t xml:space="preserve">• National Institute for Health and Care Excellence. </w:t>
      </w:r>
      <w:r>
        <w:rPr>
          <w:i/>
        </w:rPr>
        <w:t>Psychosis and schizophrenia in adults: prevention and management</w:t>
      </w:r>
      <w:r>
        <w:t xml:space="preserve">. Clinical guideline CG178. </w:t>
      </w:r>
      <w:hyperlink r:id="rId57">
        <w:r>
          <w:rPr>
            <w:color w:val="246B8E"/>
            <w:u w:val="single"/>
          </w:rPr>
          <w:t>Recomendaciones</w:t>
        </w:r>
      </w:hyperlink>
      <w:r>
        <w:t>.</w:t>
      </w:r>
    </w:p>
    <w:p>
      <w:pPr>
        <w:pStyle w:val="Bibliography"/>
      </w:pPr>
      <w:r>
        <w:t xml:space="preserve">• Keepers GA, Fochtmann LJ, Anzia JM, et al. The American Psychiatric Association Practice Guideline for the Treatment of Patients With Schizophrenia. </w:t>
      </w:r>
      <w:r>
        <w:rPr>
          <w:i/>
        </w:rPr>
        <w:t>Am J Psychiatry</w:t>
      </w:r>
      <w:r>
        <w:t xml:space="preserve">. 2020;177(9):868-872. </w:t>
      </w:r>
      <w:hyperlink r:id="rId58">
        <w:r>
          <w:rPr>
            <w:color w:val="246B8E"/>
            <w:u w:val="single"/>
          </w:rPr>
          <w:t>Guía</w:t>
        </w:r>
      </w:hyperlink>
      <w:r>
        <w:t>.</w:t>
      </w:r>
    </w:p>
    <w:p>
      <w:pPr>
        <w:pStyle w:val="Bibliography"/>
      </w:pPr>
      <w:r>
        <w:t xml:space="preserve">• Pollak TA, Lennox BR, Müller S, et al. Autoimmune psychosis: an international consensus on an approach to the diagnosis and management of psychosis of suspected autoimmune origin. </w:t>
      </w:r>
      <w:r>
        <w:rPr>
          <w:i/>
        </w:rPr>
        <w:t>Lancet Psychiatry</w:t>
      </w:r>
      <w:r>
        <w:t xml:space="preserve">. 2020;7(1):93-108. </w:t>
      </w:r>
      <w:hyperlink r:id="rId23">
        <w:r>
          <w:rPr>
            <w:color w:val="246B8E"/>
            <w:u w:val="single"/>
          </w:rPr>
          <w:t>Artículo</w:t>
        </w:r>
      </w:hyperlink>
      <w:r>
        <w:t>.</w:t>
      </w:r>
    </w:p>
    <w:p>
      <w:pPr>
        <w:pStyle w:val="Bibliography"/>
      </w:pPr>
      <w:r>
        <w:t xml:space="preserve">• American Psychiatric Association. </w:t>
      </w:r>
      <w:r>
        <w:rPr>
          <w:i/>
        </w:rPr>
        <w:t>Diagnostic and Statistical Manual of Mental Disorders: DSM-5-TR</w:t>
      </w:r>
      <w:r>
        <w:t xml:space="preserve">. 2022. </w:t>
      </w:r>
      <w:hyperlink r:id="rId49">
        <w:r>
          <w:rPr>
            <w:color w:val="246B8E"/>
            <w:u w:val="single"/>
          </w:rPr>
          <w:t>Referencia editorial</w:t>
        </w:r>
      </w:hyperlink>
      <w:r>
        <w:t>.</w:t>
      </w:r>
    </w:p>
    <w:p>
      <w:pPr>
        <w:pStyle w:val="Bibliography"/>
      </w:pPr>
      <w:r>
        <w:t xml:space="preserve">• World Health Organization. </w:t>
      </w:r>
      <w:r>
        <w:rPr>
          <w:i/>
        </w:rPr>
        <w:t>Clinical Descriptions and Diagnostic Requirements for ICD-11 Mental, Behavioural and Neurodevelopmental Disorders</w:t>
      </w:r>
      <w:r>
        <w:t xml:space="preserve">. 2024. </w:t>
      </w:r>
      <w:hyperlink r:id="rId14">
        <w:r>
          <w:rPr>
            <w:color w:val="246B8E"/>
            <w:u w:val="single"/>
          </w:rPr>
          <w:t>Manual oficial</w:t>
        </w:r>
      </w:hyperlink>
      <w:r>
        <w:t>.</w:t>
      </w:r>
    </w:p>
    <w:p>
      <w:pPr>
        <w:pStyle w:val="Bibliography"/>
      </w:pPr>
      <w:r>
        <w:t xml:space="preserve">• Ministerio de Salud de Chile. </w:t>
      </w:r>
      <w:r>
        <w:rPr>
          <w:i/>
        </w:rPr>
        <w:t>GES 15: Esquizofrenia</w:t>
      </w:r>
      <w:r>
        <w:t xml:space="preserve">. </w:t>
      </w:r>
      <w:hyperlink r:id="rId59">
        <w:r>
          <w:rPr>
            <w:color w:val="246B8E"/>
            <w:u w:val="single"/>
          </w:rPr>
          <w:t>Ficha oficial</w:t>
        </w:r>
      </w:hyperlink>
      <w:r>
        <w:t>.</w:t>
      </w:r>
    </w:p>
    <w:p>
      <w:r>
        <w:br w:type="page"/>
      </w:r>
    </w:p>
    <w:p>
      <w:pPr>
        <w:spacing w:after="480"/>
      </w:pPr>
      <w:r>
        <w:rPr>
          <w:rFonts w:ascii="Calibri" w:hAnsi="Calibri"/>
          <w:b/>
          <w:color w:val="2A8C82"/>
          <w:sz w:val="20"/>
        </w:rPr>
        <w:t>CAPÍTULO 22 · MATERIAL PARA ESTUDIANTES</w:t>
      </w:r>
    </w:p>
    <w:tbl>
      <w:tblPr>
        <w:tblW w:type="auto" w:w="0"/>
        <w:jc w:val="left"/>
        <w:tblLayout w:type="fixed"/>
        <w:tblLook w:firstColumn="1" w:firstRow="1" w:lastColumn="0" w:lastRow="0" w:noHBand="0" w:noVBand="1" w:val="04A0"/>
      </w:tblPr>
      <w:tblGrid>
        <w:gridCol w:w="9648"/>
      </w:tblGrid>
      <w:tr>
        <w:trPr>
          <w:tblHeader w:val="true"/>
        </w:trPr>
        <w:tc>
          <w:tcPr>
            <w:tcW w:type="dxa" w:w="9072"/>
            <w:shd w:fill="173A5E"/>
            <w:tcMar>
              <w:top w:w="120" w:type="dxa"/>
              <w:start w:w="220" w:type="dxa"/>
              <w:bottom w:w="120" w:type="dxa"/>
              <w:end w:w="220" w:type="dxa"/>
            </w:tcMar>
          </w:tcPr>
          <w:p>
            <w:pPr>
              <w:spacing w:after="0"/>
            </w:pPr>
            <w:r>
              <w:rPr>
                <w:rFonts w:ascii="Calibri" w:hAnsi="Calibri"/>
                <w:b/>
                <w:color w:val="FFFFFF"/>
                <w:sz w:val="19"/>
              </w:rPr>
              <w:t>MÓDULO II · PATOLOGÍAS, GES Y TRATAMIENTOS</w:t>
            </w:r>
          </w:p>
        </w:tc>
      </w:tr>
    </w:tbl>
    <w:p>
      <w:pPr>
        <w:pStyle w:val="Title"/>
        <w:spacing w:before="520" w:after="360"/>
        <w:outlineLvl w:val="0"/>
      </w:pPr>
      <w:bookmarkStart w:id="1022" w:name="chapter_22"/>
      <w:r>
        <w:t>Esquizofrenia y otros trastornos psicóticos: curso, diagnóstico y GES 15</w:t>
      </w:r>
      <w:bookmarkEnd w:id="1022"/>
    </w:p>
    <w:p>
      <w:pPr>
        <w:spacing w:after="80"/>
      </w:pPr>
      <w:r>
        <w:rPr>
          <w:rFonts w:ascii="Calibri" w:hAnsi="Calibri"/>
          <w:b/>
          <w:color w:val="246B8E"/>
          <w:sz w:val="26"/>
        </w:rPr>
        <w:t>Programa de Psiquiatría para internos de Medicina</w:t>
      </w:r>
    </w:p>
    <w:p>
      <w:r>
        <w:rPr>
          <w:rFonts w:ascii="Calibri" w:hAnsi="Calibri"/>
          <w:color w:val="6B7280"/>
          <w:sz w:val="22"/>
        </w:rPr>
        <w:t>Lectura complementaria · Chile · Versión final para revisión humana · 2026</w:t>
      </w:r>
    </w:p>
    <w:p/>
    <w:p/>
    <w:p/>
    <w:p/>
    <w:p/>
    <w:tbl>
      <w:tblPr>
        <w:tblW w:type="auto" w:w="0"/>
        <w:jc w:val="left"/>
        <w:tblLayout w:type="fixed"/>
        <w:tblLook w:firstColumn="1" w:firstRow="1" w:lastColumn="0" w:lastRow="0" w:noHBand="0" w:noVBand="1" w:val="04A0"/>
      </w:tblPr>
      <w:tblGrid>
        <w:gridCol w:w="9648"/>
      </w:tblGrid>
      <w:tr>
        <w:trPr>
          <w:tblHeader w:val="true"/>
        </w:trPr>
        <w:tc>
          <w:tcPr>
            <w:tcW w:type="dxa" w:w="9648"/>
            <w:shd w:fill="F3F5F6"/>
            <w:tcBorders>
              <w:start w:val="single" w:sz="18" w:color="2A8C82"/>
            </w:tcBorders>
            <w:tcMar>
              <w:top w:w="160" w:type="dxa"/>
              <w:start w:w="220" w:type="dxa"/>
              <w:bottom w:w="160" w:type="dxa"/>
              <w:end w:w="220" w:type="dxa"/>
            </w:tcMar>
          </w:tcPr>
          <w:p>
            <w:pPr>
              <w:spacing w:after="0"/>
            </w:pPr>
            <w:r>
              <w:rPr>
                <w:rFonts w:ascii="Calibri" w:hAnsi="Calibri"/>
                <w:i/>
                <w:color w:val="6B7280"/>
                <w:sz w:val="18"/>
              </w:rPr>
              <w:t>Versión docente final para revisión humana. Material propuesto y contextualizado a Chile; no corresponde a un programa oficial de la Pontificia Universidad Católica de Chile ni sustituye protocolos locales, supervisión clínica o evaluación especializada. Fuentes revisadas al 15 de agosto de 2026.</w:t>
            </w:r>
          </w:p>
        </w:tc>
      </w:tr>
    </w:tbl>
    <w:p>
      <w:r>
        <w:br w:type="page"/>
      </w:r>
    </w:p>
    <w:tbl>
      <w:tblPr>
        <w:tblW w:type="auto" w:w="0"/>
        <w:jc w:val="center"/>
        <w:tblLayout w:type="autofit"/>
        <w:tblLook w:firstColumn="1" w:firstRow="1" w:lastColumn="0" w:lastRow="0" w:noHBand="0" w:noVBand="1" w:val="04A0"/>
      </w:tblPr>
      <w:tblGrid>
        <w:gridCol w:w="9648"/>
      </w:tblGrid>
      <w:tr>
        <w:trPr>
          <w:tblHeader w:val="true"/>
        </w:trPr>
        <w:tc>
          <w:tcPr>
            <w:tcW w:type="dxa" w:w="9648"/>
            <w:vAlign w:val="center"/>
            <w:shd w:fill="EAF3F7"/>
            <w:tcBorders>
              <w:start w:val="single" w:sz="14" w:color="2A8C82"/>
            </w:tcBorders>
            <w:tcMar>
              <w:top w:w="130" w:type="dxa"/>
              <w:start w:w="190" w:type="dxa"/>
              <w:bottom w:w="130" w:type="dxa"/>
              <w:end w:w="190" w:type="dxa"/>
            </w:tcMar>
          </w:tcPr>
          <w:p>
            <w:pPr>
              <w:spacing w:after="0"/>
            </w:pPr>
            <w:r>
              <w:rPr>
                <w:b/>
                <w:color w:val="173A5E"/>
              </w:rPr>
              <w:t xml:space="preserve">PREGUNTA CLÍNICA  </w:t>
            </w:r>
            <w:r>
              <w:t>¿Cómo diferenciar los trastornos psicóticos por su trayectoria, su relación con el ánimo y el funcionamiento, y cómo activar correctamente la garantía GES 15 en Chile?</w:t>
            </w:r>
          </w:p>
        </w:tc>
      </w:tr>
    </w:tbl>
    <w:p>
      <w:pPr>
        <w:spacing w:after="0"/>
      </w:pPr>
    </w:p>
    <w:tbl>
      <w:tblPr>
        <w:tblW w:type="auto" w:w="0"/>
        <w:jc w:val="center"/>
        <w:tblLayout w:type="autofit"/>
        <w:tblLook w:firstColumn="1" w:firstRow="1" w:lastColumn="0" w:lastRow="0" w:noHBand="0" w:noVBand="1" w:val="04A0"/>
      </w:tblPr>
      <w:tblGrid>
        <w:gridCol w:w="9648"/>
      </w:tblGrid>
      <w:tr>
        <w:trPr>
          <w:tblHeader w:val="true"/>
        </w:trPr>
        <w:tc>
          <w:tcPr>
            <w:tcW w:type="dxa" w:w="9648"/>
            <w:vAlign w:val="center"/>
            <w:shd w:fill="EAF6F3"/>
            <w:tcBorders>
              <w:start w:val="single" w:sz="14" w:color="2A8C82"/>
            </w:tcBorders>
            <w:tcMar>
              <w:top w:w="130" w:type="dxa"/>
              <w:start w:w="190" w:type="dxa"/>
              <w:bottom w:w="130" w:type="dxa"/>
              <w:end w:w="190" w:type="dxa"/>
            </w:tcMar>
          </w:tcPr>
          <w:p>
            <w:pPr>
              <w:spacing w:after="0"/>
            </w:pPr>
            <w:r>
              <w:rPr>
                <w:b/>
                <w:color w:val="173A5E"/>
              </w:rPr>
              <w:t xml:space="preserve">IDEA CENTRAL  </w:t>
            </w:r>
            <w:r>
              <w:t>la esquizofrenia es un diagnóstico longitudinal y multidimensional. No se deduce de una alucinación, no determina por sí solo el pronóstico individual y la cobertura GES no reemplaza el razonamiento clínico.</w:t>
            </w:r>
          </w:p>
        </w:tc>
      </w:tr>
    </w:tbl>
    <w:p>
      <w:pPr>
        <w:spacing w:after="0"/>
      </w:pPr>
    </w:p>
    <w:p>
      <w:pPr>
        <w:pStyle w:val="Heading1"/>
      </w:pPr>
      <w:r>
        <w:t>Por qué importa</w:t>
      </w:r>
    </w:p>
    <w:p>
      <w:r>
        <w:t>Los síntomas psicóticos atraviesan múltiples trastornos. El mismo delirio puede aparecer en esquizofrenia, manía, depresión, intoxicación o enfermedad neurológica. La duración, la relación temporal con episodios afectivos, la recuperación y el deterioro funcional permiten organizar el diferencial. Confundir criterios DSM, CIE y administrativos genera diagnósticos internamente incoherentes.</w:t>
      </w:r>
    </w:p>
    <w:p>
      <w:r>
        <w:t>Comunicar esquizofrenia como “deterioro inevitable” es además clínicamente falso. El curso es heterogéneo y la intervención temprana, la continuidad, el apoyo familiar, la reducción de sustancias y la rehabilitación modifican resultados. En Chile, GES 15 facilita acceso desde la sospecha, pero sus plazos suelen enseñarse mal: garantiza atención especializada dentro de 20 días desde la derivación, no una confirmación obligatoria en ese plazo.</w:t>
      </w:r>
    </w:p>
    <w:p>
      <w:pPr>
        <w:pStyle w:val="Heading1"/>
      </w:pPr>
      <w:r>
        <w:t>Objetivos de aprendizaje</w:t>
      </w:r>
    </w:p>
    <w:p>
      <w:pPr>
        <w:pStyle w:val="ListBullet"/>
      </w:pPr>
      <w:r>
        <w:t>Reconocer los dominios clínicos y las fases posibles de la esquizofrenia.</w:t>
      </w:r>
    </w:p>
    <w:p>
      <w:pPr>
        <w:pStyle w:val="ListBullet"/>
      </w:pPr>
      <w:r>
        <w:t>Diferenciar esquizofrenia, trastorno esquizofreniforme, trastorno psicótico breve, trastorno delirante y trastorno esquizoafectivo.</w:t>
      </w:r>
    </w:p>
    <w:p>
      <w:pPr>
        <w:pStyle w:val="ListBullet"/>
      </w:pPr>
      <w:r>
        <w:t>Utilizar los umbrales temporales de un sistema diagnóstico declarado, sin mezclarlos.</w:t>
      </w:r>
    </w:p>
    <w:p>
      <w:pPr>
        <w:pStyle w:val="ListBullet"/>
      </w:pPr>
      <w:r>
        <w:t>Evaluar funcionamiento, riesgo suicida, salud física y factores pronósticos.</w:t>
      </w:r>
    </w:p>
    <w:p>
      <w:pPr>
        <w:pStyle w:val="ListBullet"/>
      </w:pPr>
      <w:r>
        <w:t>Explicar con exactitud población, acceso y oportunidad de GES 15.</w:t>
      </w:r>
    </w:p>
    <w:p>
      <w:pPr>
        <w:pStyle w:val="ListBullet"/>
      </w:pPr>
      <w:r>
        <w:t>Comunicar el diagnóstico con lenguaje no determinista ni estigmatizante.</w:t>
      </w:r>
    </w:p>
    <w:p>
      <w:pPr>
        <w:pStyle w:val="Heading1"/>
      </w:pPr>
      <w:r>
        <w:t>Caso clínico</w:t>
      </w:r>
    </w:p>
    <w:p>
      <w:pPr>
        <w:shd w:fill="EAF3F7"/>
        <w:keepLines/>
        <w:pBdr>
          <w:left w:val="single" w:sz="8" w:space="8" w:color="246B8E"/>
        </w:pBdr>
        <w:ind w:left="173" w:right="86"/>
      </w:pPr>
      <w:r>
        <w:t>Alejandra, de 27 años, presenta siete meses de delirios persecutorios, voces, lenguaje ocasionalmente desorganizado, abandono laboral y deterioro del autocuidado. Durante el aislamiento tuvo tristeza y desesperanza, pero la evaluación longitudinal no demuestra hasta ahora un episodio afectivo mayor que organice la trayectoria. Se descartaron delirium, sustancias y causas médicas relevantes. Su hermana pregunta si “ya quedó esquizofrénica para siempre”. La respuesta adecuada debe explicar por qué el diagnóstico es probable, qué permanece abierto y cómo el tratamiento busca recuperación, no dictar un destino.</w:t>
      </w:r>
    </w:p>
    <w:p>
      <w:pPr>
        <w:pStyle w:val="Heading1"/>
      </w:pPr>
      <w:r>
        <w:t>Dominios y fases clínicas</w:t>
      </w:r>
    </w:p>
    <w:p>
      <w:r>
        <w:t>Los síntomas positivos comprenden delirios y alucinaciones. La desorganización puede expresarse en pensamiento, lenguaje o conducta. Los síntomas negativos incluyen disminución de expresión emocional y reducción de motivación o actividad; alogia, anhedonia y retraimiento aportan matices, pero deben distinguirse de depresión, sedación, parkinsonismo, consumo y privación social.</w:t>
      </w:r>
    </w:p>
    <w:p>
      <w:r>
        <w:t>La cognición puede mostrar dificultades en atención, memoria de trabajo, velocidad de procesamiento y función ejecutiva. Ansiedad, depresión, trauma, insomnio y consumo son dimensiones concurrentes de alta relevancia. El funcionamiento social, ocupacional y de autocuidado se describe mediante cambios concretos; no se infiere de la etiqueta diagnóstica.</w:t>
      </w:r>
    </w:p>
    <w:p>
      <w:r>
        <w:t>Puede existir una fase de cambios premórbidos o pródromo inespecífico, seguida de episodio agudo, estabilización y remisión parcial o completa. Algunas personas presentan episodios separados con recuperación importante; otras mantienen síntomas persistentes o dificultades funcionales. Los estados clínicos varían dentro de una misma trayectoria.</w:t>
      </w:r>
    </w:p>
    <w:p>
      <w:r>
        <w:t>La duración de psicosis no tratada, el consumo, la continuidad, el apoyo y la respuesta inicial se asocian con el curso en grupos, pero no predicen con certeza el futuro de una persona. El diagnóstico tampoco equivale a incapacidad global. Capacidad y necesidad de apoyos se evalúan para decisiones específicas.</w:t>
      </w:r>
    </w:p>
    <w:p>
      <w:pPr>
        <w:pStyle w:val="Heading1"/>
      </w:pPr>
      <w:r>
        <w:t>Diferencial por duración y funcionamiento</w:t>
      </w:r>
    </w:p>
    <w:p>
      <w:r>
        <w:t>Los sistemas diagnósticos no son traducciones palabra por palabra. Para aplicar un criterio debe declararse si se usa DSM-5-TR, CIE-10, CIE-11 u otro marco vigente en la institución. La descripción longitudinal sigue siendo útil incluso cuando el sistema de codificación cambia.</w:t>
      </w:r>
    </w:p>
    <w:p>
      <w:r>
        <w:t xml:space="preserve">En DSM-5-TR, el </w:t>
      </w:r>
      <w:r>
        <w:rPr>
          <w:b/>
        </w:rPr>
        <w:t>trastorno psicótico breve</w:t>
      </w:r>
      <w:r>
        <w:t xml:space="preserve"> dura al menos un día y menos de un mes, con retorno completo al funcionamiento previo. El </w:t>
      </w:r>
      <w:r>
        <w:rPr>
          <w:b/>
        </w:rPr>
        <w:t>trastorno esquizofreniforme</w:t>
      </w:r>
      <w:r>
        <w:t xml:space="preserve"> presenta un síndrome tipo esquizofrenia por al menos un mes y menos de seis; no exige necesariamente deterioro funcional. La </w:t>
      </w:r>
      <w:r>
        <w:rPr>
          <w:b/>
        </w:rPr>
        <w:t>esquizofrenia</w:t>
      </w:r>
      <w:r>
        <w:t xml:space="preserve"> requiere signos continuos de perturbación durante al menos seis meses, incluido al menos un mes de síntomas de fase activa —o menos si fueron tratados con éxito— y deterioro significativo en áreas relevantes.</w:t>
      </w:r>
    </w:p>
    <w:p>
      <w:r>
        <w:t>La CIE-11 organiza la esquizofrenia con un umbral mínimo de aproximadamente un mes de síntomas característicos y no reproduce el requisito DSM de seis meses de perturbación total. La CIE-10 utilizada aún en numerosos registros chilenos también emplea una organización propia. Mezclar “un mes de CIE” con “seis meses de DSM” dentro de una misma conclusión produce un diagnóstico imposible de auditar.</w:t>
      </w:r>
    </w:p>
    <w:p>
      <w:r>
        <w:t xml:space="preserve">En el </w:t>
      </w:r>
      <w:r>
        <w:rPr>
          <w:b/>
        </w:rPr>
        <w:t>trastorno delirante</w:t>
      </w:r>
      <w:r>
        <w:t>, los delirios son el fenómeno central y el funcionamiento puede mantenerse relativamente preservado fuera de sus consecuencias. Alucinaciones prominentes, síntomas negativos o gran desorganización obligan a reconsiderar el diagnóstico. “Relativamente preservado” no significa ausencia de sufrimiento ni de riesgo derivado de la creencia.</w:t>
      </w:r>
    </w:p>
    <w:p>
      <w:r>
        <w:t>El diagnóstico inicial puede cambiar con el tiempo. Un episodio de dos semanas sólo puede clasificarse según la información disponible; si persiste, cambia el umbral diagnóstico. Esto no vuelve inútil la evaluación temprana: permite tratar el síndrome y mantener abierta la etiología.</w:t>
      </w:r>
    </w:p>
    <w:p>
      <w:pPr>
        <w:pStyle w:val="Heading1"/>
      </w:pPr>
      <w:r>
        <w:t>Psicosis afectivas y trastorno esquizoafectivo</w:t>
      </w:r>
    </w:p>
    <w:p>
      <w:r>
        <w:t>La relación entre psicosis y ánimo debe representarse en una línea temporal. En depresión mayor o trastorno bipolar con características psicóticas, la psicosis ocurre dentro de los episodios afectivos. Síntomas de tristeza, ansiedad o irritabilidad secundarios a la psicosis no bastan para establecer un episodio mayor.</w:t>
      </w:r>
    </w:p>
    <w:p>
      <w:r>
        <w:t>El trastorno esquizoafectivo exige una relación temporal específica, no la mera coexistencia de “ánimo y psicosis”. En DSM-5-TR debe existir un período ininterrumpido con episodio afectivo mayor concurrente con el síndrome de esquizofrenia, al menos dos semanas de delirios o alucinaciones sin episodio afectivo mayor durante la trayectoria y episodios del ánimo presentes durante la mayor parte de la duración total. Sin una historia longitudinal suficiente, el rótulo suele ser inestable.</w:t>
      </w:r>
    </w:p>
    <w:p>
      <w:r>
        <w:t>CIE-11 organiza el trastorno esquizoafectivo de otro modo. Por ello, una nota debe indicar el sistema utilizado y describir la secuencia. Si la cronología no puede reconstruirse, es preferible reconocer incertidumbre que usar “esquizoafectivo” como cajón de sastre.</w:t>
      </w:r>
    </w:p>
    <w:p>
      <w:pPr>
        <w:pStyle w:val="Heading1"/>
      </w:pPr>
      <w:r>
        <w:t>Pronóstico, riesgo y salud física</w:t>
      </w:r>
    </w:p>
    <w:p>
      <w:r>
        <w:t>El riesgo suicida puede aumentar después de un primer episodio, un alta reciente, una recaída, depresión, desesperanza o consumo. Se evalúa de forma directa y repetida; una mejoría de los delirios no garantiza que la desesperanza haya cedido. La mayoría de las personas con esquizofrenia no ejerce violencia. El riesgo aumenta en situaciones específicas como amenaza concreta, intoxicación, historia previa, persecutoriedad intensa sin tratamiento y acceso a medios. La evaluación debe centrarse en variables modificables, no en el diagnóstico como sinónimo de peligrosidad.</w:t>
      </w:r>
    </w:p>
    <w:p>
      <w:r>
        <w:t>La mortalidad prematura se relaciona con enfermedad cardiovascular y respiratoria, cáncer, tabaquismo, sedentarismo, efectos metabólicos, pobreza y barreras de atención. Peso, presión, glicemia o HbA1c, lípidos, tabaco, salud sexual y controles preventivos forman parte del tratamiento psiquiátrico. El diagnóstico no debe hacer que síntomas físicos sean considerados “psicológicos” sin estudio.</w:t>
      </w:r>
    </w:p>
    <w:p>
      <w:pPr>
        <w:pStyle w:val="Heading1"/>
      </w:pPr>
      <w:r>
        <w:t>GES 15 en Chile</w:t>
      </w:r>
    </w:p>
    <w:p>
      <w:r>
        <w:t xml:space="preserve">La garantía GES 15 se denomina </w:t>
      </w:r>
      <w:r>
        <w:rPr>
          <w:b/>
        </w:rPr>
        <w:t>Esquizofrenia</w:t>
      </w:r>
      <w:r>
        <w:t xml:space="preserve"> y no establece un límite etario. Incluye a todo beneficiario con sospecha de esquizofrenia cuyos síntomas se manifiestan por primera vez a partir del 1 de julio de 2005. Con sospecha, existe acceso a evaluación inicial, confirmación diagnóstica y tratamiento; con diagnóstico confirmado o estando en tratamiento, existe acceso a continuidad según la normativa y red correspondientes.</w:t>
      </w:r>
    </w:p>
    <w:p>
      <w:r>
        <w:t xml:space="preserve">La garantía de oportunidad diagnóstica es </w:t>
      </w:r>
      <w:r>
        <w:rPr>
          <w:b/>
        </w:rPr>
        <w:t>atención por médico especialista dentro de 20 días desde la derivación</w:t>
      </w:r>
      <w:r>
        <w:t xml:space="preserve">. No debe enseñarse como “confirmación de esquizofrenia en 20 días”: algunos cuadros requieren observación longitudinal. La garantía de tratamiento establece inicio </w:t>
      </w:r>
      <w:r>
        <w:rPr>
          <w:b/>
        </w:rPr>
        <w:t>desde la indicación del especialista</w:t>
      </w:r>
      <w:r>
        <w:t>. GES 15 no contiene una garantía general de hospitalización dentro de 24 horas; ese plazo pertenece a otras garantías y no debe importarse por analogía.</w:t>
      </w:r>
    </w:p>
    <w:p>
      <w:r>
        <w:t xml:space="preserve">Administrativamente, activar GES desde la sospecha facilita acceso. Clínicamente, no autoriza a cerrar esquizofrenia en toda primera psicosis. El profesional debe registrar la sospecha y la </w:t>
      </w:r>
      <w:r>
        <w:rPr>
          <w:b/>
        </w:rPr>
        <w:t>fecha de derivación</w:t>
      </w:r>
      <w:r>
        <w:t xml:space="preserve"> —desde ella corre el plazo de 20 días—, informar a la persona sobre sus derechos y verificar recepción en el circuito local. La canasta define prestaciones garantizadas, pero cada intervención requiere indicación clínica; emitir un formulario sin transferencia efectiva no asegura continuidad.</w:t>
      </w:r>
    </w:p>
    <w:p>
      <w:pPr>
        <w:pStyle w:val="Heading1"/>
      </w:pPr>
      <w:r>
        <w:t>Comunicar el diagnóstico y el plan</w:t>
      </w:r>
    </w:p>
    <w:p>
      <w:r>
        <w:t>La comunicación puede organizarse en tres pasos: qué se observó, qué nombre clínico se utiliza y qué se hará. Con Alejandra: “Ha presentado durante meses síntomas psicóticos y un deterioro que, tras el estudio realizado, son compatibles con esquizofrenia. El curso varía mucho entre personas; hoy no podemos predecir su vida futura. Sí sabemos que el tratamiento continuo y la recuperación de sus actividades mejoran las posibilidades”.</w:t>
      </w:r>
    </w:p>
    <w:p>
      <w:r>
        <w:t>Se evita definir a la persona por el trastorno, presentar números pronósticos como destino o prometer recuperación completa. Se explican incertidumbres, opciones farmacológicas y psicosociales, salud física y objetivos funcionales. Con autorización, la familia puede recibir información y aprender señales de recaída sin convertirse en vigilancia permanente.</w:t>
      </w:r>
    </w:p>
    <w:p>
      <w:pPr>
        <w:pStyle w:val="Heading1"/>
      </w:pPr>
      <w:r>
        <w:t>Errores frecuentes</w:t>
      </w:r>
    </w:p>
    <w:p>
      <w:pPr>
        <w:pStyle w:val="ListBullet"/>
      </w:pPr>
      <w:r>
        <w:t>Diagnosticar esquizofrenia por una alucinación aislada.</w:t>
      </w:r>
    </w:p>
    <w:p>
      <w:pPr>
        <w:pStyle w:val="ListBullet"/>
      </w:pPr>
      <w:r>
        <w:t>Mezclar duraciones DSM y CIE sin declarar el sistema.</w:t>
      </w:r>
    </w:p>
    <w:p>
      <w:pPr>
        <w:pStyle w:val="ListBullet"/>
      </w:pPr>
      <w:r>
        <w:t>Usar esquizoafectivo como sinónimo de psicosis más cualquier síntoma anímico.</w:t>
      </w:r>
    </w:p>
    <w:p>
      <w:pPr>
        <w:pStyle w:val="ListBullet"/>
      </w:pPr>
      <w:r>
        <w:t>Confundir síntomas negativos con depresión, sedación o parkinsonismo.</w:t>
      </w:r>
    </w:p>
    <w:p>
      <w:pPr>
        <w:pStyle w:val="ListBullet"/>
      </w:pPr>
      <w:r>
        <w:t>Comunicar deterioro inevitable, incapacidad global o violencia como consecuencias diagnósticas.</w:t>
      </w:r>
    </w:p>
    <w:p>
      <w:pPr>
        <w:pStyle w:val="ListBullet"/>
      </w:pPr>
      <w:r>
        <w:t>Enseñar que GES 15 obliga a confirmar el diagnóstico en 20 días.</w:t>
      </w:r>
    </w:p>
    <w:p>
      <w:pPr>
        <w:pStyle w:val="ListBullet"/>
      </w:pPr>
      <w:r>
        <w:t>Transferir a GES 15 una garantía de hospitalización que no contiene.</w:t>
      </w:r>
    </w:p>
    <w:p>
      <w:pPr>
        <w:pStyle w:val="Heading1"/>
      </w:pPr>
      <w:r>
        <w:t>Para recordar</w:t>
      </w:r>
    </w:p>
    <w:p>
      <w:pPr>
        <w:spacing w:after="60" w:line="288" w:lineRule="auto"/>
        <w:ind w:left="432" w:hanging="216"/>
        <w:shd w:fill="EAF6F3"/>
        <w:keepNext/>
        <w:keepLines/>
        <w:pBdr>
          <w:left w:val="single" w:sz="8" w:space="8" w:color="2A8C82"/>
        </w:pBdr>
      </w:pPr>
      <w:r>
        <w:t>1. Esquizofrenia describe una trayectoria multidimensional, no una voz ni una fotografía clínica.</w:t>
      </w:r>
    </w:p>
    <w:p>
      <w:pPr>
        <w:spacing w:after="60" w:line="288" w:lineRule="auto"/>
        <w:ind w:left="432" w:hanging="216"/>
        <w:shd w:fill="EAF6F3"/>
        <w:keepNext/>
        <w:keepLines/>
        <w:pBdr>
          <w:left w:val="single" w:sz="8" w:space="8" w:color="2A8C82"/>
        </w:pBdr>
      </w:pPr>
      <w:r>
        <w:t>2. Duración, funcionamiento y relación entre ánimo y psicosis organizan el diferencial.</w:t>
      </w:r>
    </w:p>
    <w:p>
      <w:pPr>
        <w:spacing w:after="60" w:line="288" w:lineRule="auto"/>
        <w:ind w:left="432" w:hanging="216"/>
        <w:shd w:fill="EAF6F3"/>
        <w:keepNext/>
        <w:keepLines/>
        <w:pBdr>
          <w:left w:val="single" w:sz="8" w:space="8" w:color="2A8C82"/>
        </w:pBdr>
      </w:pPr>
      <w:r>
        <w:t>3. DSM y CIE no deben combinarse como si compartieran todos sus umbrales.</w:t>
      </w:r>
    </w:p>
    <w:p>
      <w:pPr>
        <w:spacing w:after="60" w:line="288" w:lineRule="auto"/>
        <w:ind w:left="432" w:hanging="216"/>
        <w:shd w:fill="EAF6F3"/>
        <w:keepNext/>
        <w:keepLines/>
        <w:pBdr>
          <w:left w:val="single" w:sz="8" w:space="8" w:color="2A8C82"/>
        </w:pBdr>
      </w:pPr>
      <w:r>
        <w:t>4. GES 15 garantiza especialista dentro de 20 días desde la derivación y tratamiento desde su indicación.</w:t>
      </w:r>
    </w:p>
    <w:p>
      <w:pPr>
        <w:spacing w:after="60" w:line="288" w:lineRule="auto"/>
        <w:ind w:left="432" w:hanging="216"/>
        <w:shd w:fill="EAF6F3"/>
        <w:keepLines/>
        <w:pBdr>
          <w:left w:val="single" w:sz="8" w:space="8" w:color="2A8C82"/>
        </w:pBdr>
      </w:pPr>
      <w:r>
        <w:t>5. Comunicar variabilidad y posibilidades reales de recuperación forma parte del tratamiento.</w:t>
      </w:r>
    </w:p>
    <w:p>
      <w:pPr>
        <w:pStyle w:val="Heading1"/>
      </w:pPr>
      <w:r>
        <w:t>Bibliografía esencial</w:t>
      </w:r>
    </w:p>
    <w:p>
      <w:pPr>
        <w:pStyle w:val="Bibliography"/>
      </w:pPr>
      <w:r>
        <w:t xml:space="preserve">• American Psychiatric Association. </w:t>
      </w:r>
      <w:r>
        <w:rPr>
          <w:i/>
        </w:rPr>
        <w:t>Diagnostic and Statistical Manual of Mental Disorders: DSM-5-TR</w:t>
      </w:r>
      <w:r>
        <w:t xml:space="preserve">. 2022. </w:t>
      </w:r>
      <w:hyperlink r:id="rId49">
        <w:r>
          <w:rPr>
            <w:color w:val="246B8E"/>
            <w:u w:val="single"/>
          </w:rPr>
          <w:t>Referencia editorial</w:t>
        </w:r>
      </w:hyperlink>
      <w:r>
        <w:t>.</w:t>
      </w:r>
    </w:p>
    <w:p>
      <w:pPr>
        <w:pStyle w:val="Bibliography"/>
      </w:pPr>
      <w:r>
        <w:t xml:space="preserve">• World Health Organization. </w:t>
      </w:r>
      <w:r>
        <w:rPr>
          <w:i/>
        </w:rPr>
        <w:t>Clinical Descriptions and Diagnostic Requirements for ICD-11 Mental, Behavioural and Neurodevelopmental Disorders</w:t>
      </w:r>
      <w:r>
        <w:t xml:space="preserve">. 2024. </w:t>
      </w:r>
      <w:hyperlink r:id="rId14">
        <w:r>
          <w:rPr>
            <w:color w:val="246B8E"/>
            <w:u w:val="single"/>
          </w:rPr>
          <w:t>Manual oficial</w:t>
        </w:r>
      </w:hyperlink>
      <w:r>
        <w:t>.</w:t>
      </w:r>
    </w:p>
    <w:p>
      <w:pPr>
        <w:pStyle w:val="Bibliography"/>
      </w:pPr>
      <w:r>
        <w:t xml:space="preserve">• Keepers GA, Fochtmann LJ, Anzia JM, et al. The American Psychiatric Association Practice Guideline for the Treatment of Patients With Schizophrenia. </w:t>
      </w:r>
      <w:r>
        <w:rPr>
          <w:i/>
        </w:rPr>
        <w:t>Am J Psychiatry</w:t>
      </w:r>
      <w:r>
        <w:t xml:space="preserve">. 2020;177(9):868-872. </w:t>
      </w:r>
      <w:hyperlink r:id="rId58">
        <w:r>
          <w:rPr>
            <w:color w:val="246B8E"/>
            <w:u w:val="single"/>
          </w:rPr>
          <w:t>Guía</w:t>
        </w:r>
      </w:hyperlink>
      <w:r>
        <w:t>.</w:t>
      </w:r>
    </w:p>
    <w:p>
      <w:pPr>
        <w:pStyle w:val="Bibliography"/>
      </w:pPr>
      <w:r>
        <w:t xml:space="preserve">• National Institute for Health and Care Excellence. </w:t>
      </w:r>
      <w:r>
        <w:rPr>
          <w:i/>
        </w:rPr>
        <w:t>Psychosis and schizophrenia in adults: prevention and management</w:t>
      </w:r>
      <w:r>
        <w:t xml:space="preserve">. Clinical guideline CG178. </w:t>
      </w:r>
      <w:hyperlink r:id="rId57">
        <w:r>
          <w:rPr>
            <w:color w:val="246B8E"/>
            <w:u w:val="single"/>
          </w:rPr>
          <w:t>Recomendaciones</w:t>
        </w:r>
      </w:hyperlink>
      <w:r>
        <w:t>.</w:t>
      </w:r>
    </w:p>
    <w:p>
      <w:pPr>
        <w:pStyle w:val="Bibliography"/>
      </w:pPr>
      <w:r>
        <w:t xml:space="preserve">• Ministerio de Salud de Chile. </w:t>
      </w:r>
      <w:r>
        <w:rPr>
          <w:i/>
        </w:rPr>
        <w:t>GES 15: Esquizofrenia</w:t>
      </w:r>
      <w:r>
        <w:t xml:space="preserve">. </w:t>
      </w:r>
      <w:hyperlink r:id="rId59">
        <w:r>
          <w:rPr>
            <w:color w:val="246B8E"/>
            <w:u w:val="single"/>
          </w:rPr>
          <w:t>Ficha oficial</w:t>
        </w:r>
      </w:hyperlink>
      <w:r>
        <w:t>.</w:t>
      </w:r>
    </w:p>
    <w:p>
      <w:r>
        <w:br w:type="page"/>
      </w:r>
    </w:p>
    <w:p>
      <w:pPr>
        <w:spacing w:after="480"/>
      </w:pPr>
      <w:r>
        <w:rPr>
          <w:rFonts w:ascii="Calibri" w:hAnsi="Calibri"/>
          <w:b/>
          <w:color w:val="2A8C82"/>
          <w:sz w:val="20"/>
        </w:rPr>
        <w:t>CAPÍTULO 23 · MATERIAL PARA ESTUDIANTES</w:t>
      </w:r>
    </w:p>
    <w:tbl>
      <w:tblPr>
        <w:tblW w:type="auto" w:w="0"/>
        <w:jc w:val="left"/>
        <w:tblLayout w:type="fixed"/>
        <w:tblLook w:firstColumn="1" w:firstRow="1" w:lastColumn="0" w:lastRow="0" w:noHBand="0" w:noVBand="1" w:val="04A0"/>
      </w:tblPr>
      <w:tblGrid>
        <w:gridCol w:w="9648"/>
      </w:tblGrid>
      <w:tr>
        <w:trPr>
          <w:tblHeader w:val="true"/>
        </w:trPr>
        <w:tc>
          <w:tcPr>
            <w:tcW w:type="dxa" w:w="9072"/>
            <w:shd w:fill="173A5E"/>
            <w:tcMar>
              <w:top w:w="120" w:type="dxa"/>
              <w:start w:w="220" w:type="dxa"/>
              <w:bottom w:w="120" w:type="dxa"/>
              <w:end w:w="220" w:type="dxa"/>
            </w:tcMar>
          </w:tcPr>
          <w:p>
            <w:pPr>
              <w:spacing w:after="0"/>
            </w:pPr>
            <w:r>
              <w:rPr>
                <w:rFonts w:ascii="Calibri" w:hAnsi="Calibri"/>
                <w:b/>
                <w:color w:val="FFFFFF"/>
                <w:sz w:val="19"/>
              </w:rPr>
              <w:t>MÓDULO II · PATOLOGÍAS, GES Y TRATAMIENTOS</w:t>
            </w:r>
          </w:p>
        </w:tc>
      </w:tr>
    </w:tbl>
    <w:p>
      <w:pPr>
        <w:pStyle w:val="Title"/>
        <w:spacing w:before="520" w:after="360"/>
        <w:outlineLvl w:val="0"/>
      </w:pPr>
      <w:bookmarkStart w:id="1023" w:name="chapter_23"/>
      <w:r>
        <w:t>Tratamiento antipsicótico: elección, respuesta, efectos adversos y monitorización</w:t>
      </w:r>
      <w:bookmarkEnd w:id="1023"/>
    </w:p>
    <w:p>
      <w:pPr>
        <w:spacing w:after="80"/>
      </w:pPr>
      <w:r>
        <w:rPr>
          <w:rFonts w:ascii="Calibri" w:hAnsi="Calibri"/>
          <w:b/>
          <w:color w:val="246B8E"/>
          <w:sz w:val="26"/>
        </w:rPr>
        <w:t>Programa de Psiquiatría para internos de Medicina</w:t>
      </w:r>
    </w:p>
    <w:p>
      <w:r>
        <w:rPr>
          <w:rFonts w:ascii="Calibri" w:hAnsi="Calibri"/>
          <w:color w:val="6B7280"/>
          <w:sz w:val="22"/>
        </w:rPr>
        <w:t>Lectura complementaria · Chile · Versión final para revisión humana · 2026</w:t>
      </w:r>
    </w:p>
    <w:p/>
    <w:p/>
    <w:p/>
    <w:p/>
    <w:p/>
    <w:tbl>
      <w:tblPr>
        <w:tblW w:type="auto" w:w="0"/>
        <w:jc w:val="left"/>
        <w:tblLayout w:type="fixed"/>
        <w:tblLook w:firstColumn="1" w:firstRow="1" w:lastColumn="0" w:lastRow="0" w:noHBand="0" w:noVBand="1" w:val="04A0"/>
      </w:tblPr>
      <w:tblGrid>
        <w:gridCol w:w="9648"/>
      </w:tblGrid>
      <w:tr>
        <w:trPr>
          <w:tblHeader w:val="true"/>
        </w:trPr>
        <w:tc>
          <w:tcPr>
            <w:tcW w:type="dxa" w:w="9648"/>
            <w:shd w:fill="F3F5F6"/>
            <w:tcBorders>
              <w:start w:val="single" w:sz="18" w:color="2A8C82"/>
            </w:tcBorders>
            <w:tcMar>
              <w:top w:w="160" w:type="dxa"/>
              <w:start w:w="220" w:type="dxa"/>
              <w:bottom w:w="160" w:type="dxa"/>
              <w:end w:w="220" w:type="dxa"/>
            </w:tcMar>
          </w:tcPr>
          <w:p>
            <w:pPr>
              <w:spacing w:after="0"/>
            </w:pPr>
            <w:r>
              <w:rPr>
                <w:rFonts w:ascii="Calibri" w:hAnsi="Calibri"/>
                <w:i/>
                <w:color w:val="6B7280"/>
                <w:sz w:val="18"/>
              </w:rPr>
              <w:t>Versión docente final para revisión humana. Material propuesto y contextualizado a Chile; no corresponde a un programa oficial de la Pontificia Universidad Católica de Chile ni sustituye protocolos locales, supervisión clínica o evaluación especializada. Fuentes revisadas al 15 de agosto de 2026.</w:t>
            </w:r>
          </w:p>
        </w:tc>
      </w:tr>
    </w:tbl>
    <w:p>
      <w:r>
        <w:br w:type="page"/>
      </w:r>
    </w:p>
    <w:tbl>
      <w:tblPr>
        <w:tblW w:type="auto" w:w="0"/>
        <w:jc w:val="center"/>
        <w:tblLayout w:type="autofit"/>
        <w:tblLook w:firstColumn="1" w:firstRow="1" w:lastColumn="0" w:lastRow="0" w:noHBand="0" w:noVBand="1" w:val="04A0"/>
      </w:tblPr>
      <w:tblGrid>
        <w:gridCol w:w="9648"/>
      </w:tblGrid>
      <w:tr>
        <w:trPr>
          <w:tblHeader w:val="true"/>
        </w:trPr>
        <w:tc>
          <w:tcPr>
            <w:tcW w:type="dxa" w:w="9648"/>
            <w:vAlign w:val="center"/>
            <w:shd w:fill="EAF3F7"/>
            <w:tcBorders>
              <w:start w:val="single" w:sz="14" w:color="2A8C82"/>
            </w:tcBorders>
            <w:tcMar>
              <w:top w:w="130" w:type="dxa"/>
              <w:start w:w="190" w:type="dxa"/>
              <w:bottom w:w="130" w:type="dxa"/>
              <w:end w:w="190" w:type="dxa"/>
            </w:tcMar>
          </w:tcPr>
          <w:p>
            <w:pPr>
              <w:spacing w:after="0"/>
            </w:pPr>
            <w:r>
              <w:rPr>
                <w:b/>
                <w:color w:val="173A5E"/>
              </w:rPr>
              <w:t xml:space="preserve">PREGUNTA CLÍNICA  </w:t>
            </w:r>
            <w:r>
              <w:t>¿Cómo elegir y seguir un antipsicótico de modo que la búsqueda de eficacia no produzca toxicidad, abandono evitable o una enfermedad física inadvertida?</w:t>
            </w:r>
          </w:p>
        </w:tc>
      </w:tr>
    </w:tbl>
    <w:p>
      <w:pPr>
        <w:spacing w:after="0"/>
      </w:pPr>
    </w:p>
    <w:tbl>
      <w:tblPr>
        <w:tblW w:type="auto" w:w="0"/>
        <w:jc w:val="center"/>
        <w:tblLayout w:type="autofit"/>
        <w:tblLook w:firstColumn="1" w:firstRow="1" w:lastColumn="0" w:lastRow="0" w:noHBand="0" w:noVBand="1" w:val="04A0"/>
      </w:tblPr>
      <w:tblGrid>
        <w:gridCol w:w="9648"/>
      </w:tblGrid>
      <w:tr>
        <w:trPr>
          <w:tblHeader w:val="true"/>
        </w:trPr>
        <w:tc>
          <w:tcPr>
            <w:tcW w:type="dxa" w:w="9648"/>
            <w:vAlign w:val="center"/>
            <w:shd w:fill="EAF6F3"/>
            <w:tcBorders>
              <w:start w:val="single" w:sz="14" w:color="2A8C82"/>
            </w:tcBorders>
            <w:tcMar>
              <w:top w:w="130" w:type="dxa"/>
              <w:start w:w="190" w:type="dxa"/>
              <w:bottom w:w="130" w:type="dxa"/>
              <w:end w:w="190" w:type="dxa"/>
            </w:tcMar>
          </w:tcPr>
          <w:p>
            <w:pPr>
              <w:spacing w:after="0"/>
            </w:pPr>
            <w:r>
              <w:rPr>
                <w:b/>
                <w:color w:val="173A5E"/>
              </w:rPr>
              <w:t xml:space="preserve">IDEA CENTRAL  </w:t>
            </w:r>
            <w:r>
              <w:t>no existe “el mejor antipsicótico” en abstracto. La elección busca la mejor relación entre eficacia, efectos adversos, preferencias, comorbilidad, acceso y posibilidad real de continuidad para una persona concreta.</w:t>
            </w:r>
          </w:p>
        </w:tc>
      </w:tr>
    </w:tbl>
    <w:p>
      <w:pPr>
        <w:spacing w:after="0"/>
      </w:pPr>
    </w:p>
    <w:p>
      <w:pPr>
        <w:pStyle w:val="Heading1"/>
      </w:pPr>
      <w:r>
        <w:t>Por qué importa</w:t>
      </w:r>
    </w:p>
    <w:p>
      <w:r>
        <w:t>Los antipsicóticos reducen principalmente síntomas positivos y el riesgo de recaída, pero difieren de manera importante en efectos metabólicos, neurológicos, endocrinos, cardiovasculares y subjetivos. Un fármaco eficaz que produce acatisia, disfunción sexual o aumento de peso puede ser imposible de sostener. Cambiarlo sin comprobar respuesta y adherencia también puede perder un tratamiento útil.</w:t>
      </w:r>
    </w:p>
    <w:p>
      <w:r>
        <w:t>La monitorización no es una formalidad. Debe comenzar antes de la primera dosis, repetirse cuando el riesgo es mayor y conducir a acciones. Pedir glicemia y lípidos sin revisar el resultado es coleccionar problemas con apariencia de medicina.</w:t>
      </w:r>
    </w:p>
    <w:p>
      <w:pPr>
        <w:pStyle w:val="Heading1"/>
      </w:pPr>
      <w:r>
        <w:t>Objetivos de aprendizaje</w:t>
      </w:r>
    </w:p>
    <w:p>
      <w:pPr>
        <w:pStyle w:val="ListBullet"/>
      </w:pPr>
      <w:r>
        <w:t>Elegir un antipsicótico según perfil clínico, efectos adversos y preferencias.</w:t>
      </w:r>
    </w:p>
    <w:p>
      <w:pPr>
        <w:pStyle w:val="ListBullet"/>
      </w:pPr>
      <w:r>
        <w:t>Diseñar y evaluar un ensayo terapéutico explícito, evitando escaladas prematuras.</w:t>
      </w:r>
    </w:p>
    <w:p>
      <w:pPr>
        <w:pStyle w:val="ListBullet"/>
      </w:pPr>
      <w:r>
        <w:t>Reconocer distonía, acatisia, parkinsonismo y discinesia tardía.</w:t>
      </w:r>
    </w:p>
    <w:p>
      <w:pPr>
        <w:pStyle w:val="ListBullet"/>
      </w:pPr>
      <w:r>
        <w:t>Detectar riesgos metabólicos, endocrinos, cardiovasculares y anticolinérgicos.</w:t>
      </w:r>
    </w:p>
    <w:p>
      <w:pPr>
        <w:pStyle w:val="ListBullet"/>
      </w:pPr>
      <w:r>
        <w:t>Organizar monitorización basal y longitudinal con responsabilidades definidas.</w:t>
      </w:r>
    </w:p>
    <w:p>
      <w:pPr>
        <w:pStyle w:val="ListBullet"/>
      </w:pPr>
      <w:r>
        <w:t>Explicar indicaciones y requisitos de inyectables de acción prolongada.</w:t>
      </w:r>
    </w:p>
    <w:p>
      <w:pPr>
        <w:pStyle w:val="ListBullet"/>
      </w:pPr>
      <w:r>
        <w:t>Evitar polifarmacia antipsicótica y anticolinérgicos profilácticos rutinarios.</w:t>
      </w:r>
    </w:p>
    <w:p>
      <w:pPr>
        <w:pStyle w:val="Heading1"/>
      </w:pPr>
      <w:r>
        <w:t>Caso clínico</w:t>
      </w:r>
    </w:p>
    <w:p>
      <w:pPr>
        <w:shd w:fill="EAF3F7"/>
        <w:keepLines/>
        <w:pBdr>
          <w:left w:val="single" w:sz="8" w:space="8" w:color="246B8E"/>
        </w:pBdr>
        <w:ind w:left="173" w:right="86"/>
      </w:pPr>
      <w:r>
        <w:t>Nicolás, de 25 años, tuvo una mejoría parcial de voces y persecutoriedad con risperidona. A las pocas semanas comenzó a caminar constantemente, describió una necesidad interna insoportable de mover las piernas y presentó disfunción sexual con hiperprolactinemia. Suspendió el medicamento sin informarlo porque “me estaba haciendo peor” y recayó dos meses después. Llamarlo “no adherente” oculta el problema. La pregunta relevante es si corresponde reducir dosis, tratar transitoriamente un efecto, cambiar a otro perfil o acordar una formulación prolongada después de encontrar una alternativa tolerable.</w:t>
      </w:r>
    </w:p>
    <w:p>
      <w:pPr>
        <w:pStyle w:val="Heading1"/>
      </w:pPr>
      <w:r>
        <w:t>Qué puede esperarse de un antipsicótico</w:t>
      </w:r>
    </w:p>
    <w:p>
      <w:r>
        <w:t>La respuesta debe medirse en síntomas diana observables: frecuencia y malestar de las voces, convicción e interferencia de delirios, organización conductual, sueño y capacidad de retomar actividades. “Está más tranquilo” puede reflejar sedación, disminución de angustia o verdadera mejoría psicótica. Los síntomas negativos primarios, cognición y recuperación funcional suelen responder menos y requieren intervenciones adicionales.</w:t>
      </w:r>
    </w:p>
    <w:p>
      <w:r>
        <w:t>La mejoría puede comenzar durante los primeros días, pero un ensayo se evalúa durante semanas. En ausencia de urgencia, conviene alcanzar una dosis terapéutica tolerada y revisar respuesta aproximadamente a las cuatro a seis semanas, adaptando el plazo al fármaco, gravedad y cambio observado. Aumentos diarios por impaciencia elevan efectos adversos antes de conocer eficacia.</w:t>
      </w:r>
    </w:p>
    <w:p>
      <w:r>
        <w:t>En un primer episodio suele existir mayor sensibilidad tanto al tratamiento como a los efectos adversos; frecuentemente bastan dosis menores que en episodios múltiples. Esto no significa infratratar una psicosis grave, sino titular con propósito y supervisión.</w:t>
      </w:r>
    </w:p>
    <w:p>
      <w:pPr>
        <w:pStyle w:val="Heading1"/>
      </w:pPr>
      <w:r>
        <w:t>Elegir y prescribir como un ensayo individual</w:t>
      </w:r>
    </w:p>
    <w:p>
      <w:r>
        <w:t>Se consideran respuesta y tolerabilidad previas, riesgo metabólico, movimientos, prolactina, QT, sedación, hipotensión y carga anticolinérgica. Edad, diabetes, obesidad, cardiopatía, epilepsia, enfermedad de Parkinson, embarazo, lactancia y otras condiciones cambian la relación riesgo-beneficio. También importan vía, frecuencia, costo, disponibilidad en la red y preferencias sobre efectos que la persona está dispuesta —o no— a aceptar.</w:t>
      </w:r>
    </w:p>
    <w:p>
      <w:r>
        <w:t>“Primera” y “segunda generación” son categorías históricas con perfiles internos heterogéneos. No sustituyen la comparación entre fármacos. Con excepción de clozapina en resistencia, no existe un agente consistentemente superior para todas las personas. Olanzapina, por ejemplo, puede ser eficaz, pero su riesgo metabólico exige una discusión distinta; fármacos con mayor elevación de prolactina o efectos extrapiramidales pueden ser poco apropiados en otras situaciones.</w:t>
      </w:r>
    </w:p>
    <w:p>
      <w:r>
        <w:t>Antes de iniciar se registran indicación, síntomas diana, dosis inicial, plan de titulación, beneficios esperados, efectos prioritarios y fecha de revisión. Se comienza dentro del rango apropiado para fase y severidad y no se superan dosis máximas sin justificación excepcional, documentación y supervisión especializada.</w:t>
      </w:r>
    </w:p>
    <w:p>
      <w:r>
        <w:t>Si la respuesta es insuficiente, primero se revisan diagnóstico, tiempo, dosis, adherencia, consumo, interacciones y absorción. La polifarmacia antipsicótica regular no debe ser la respuesta rutinaria; su uso breve durante un cambio es una situación distinta. Dos nombres en la receta no equivalen a un mecanismo más sofisticado.</w:t>
      </w:r>
    </w:p>
    <w:p>
      <w:pPr>
        <w:pStyle w:val="Heading1"/>
      </w:pPr>
      <w:r>
        <w:t>Efectos extrapiramidales</w:t>
      </w:r>
    </w:p>
    <w:p>
      <w:r>
        <w:t xml:space="preserve">La </w:t>
      </w:r>
      <w:r>
        <w:rPr>
          <w:b/>
        </w:rPr>
        <w:t>distonía aguda</w:t>
      </w:r>
      <w:r>
        <w:t xml:space="preserve"> aparece habitualmente en horas o días, con contracciones de cuello, mandíbula, lengua u ojos. Requiere tratamiento rápido con anticolinérgico según protocolo. Estridor o compromiso laríngeo es una emergencia médica. La reacción y su manejo deben documentarse para futuras prescripciones.</w:t>
      </w:r>
    </w:p>
    <w:p>
      <w:r>
        <w:t xml:space="preserve">La </w:t>
      </w:r>
      <w:r>
        <w:rPr>
          <w:b/>
        </w:rPr>
        <w:t>acatisia</w:t>
      </w:r>
      <w:r>
        <w:t xml:space="preserve"> combina inquietud interna con necesidad de moverse: caminar, balancearse o no poder permanecer sentado. Puede confundirse con ansiedad, agitación o empeoramiento psicótico y ocasionar sufrimiento extremo. Se revisan cronología y dosis, y se considera reducción, cambio o tratamiento específico según el caso. Aumentar el antipsicótico porque la persona “está inquieta” puede empeorarla.</w:t>
      </w:r>
    </w:p>
    <w:p>
      <w:r>
        <w:t xml:space="preserve">El </w:t>
      </w:r>
      <w:r>
        <w:rPr>
          <w:b/>
        </w:rPr>
        <w:t>parkinsonismo</w:t>
      </w:r>
      <w:r>
        <w:t xml:space="preserve"> incluye bradicinesia, rigidez y temblor. Se revisan dosis y alternativa farmacológica antes de mantener anticolinérgicos indefinidamente. Estos últimos pueden empeorar cognición, visión, retención urinaria, constipación y riesgo de delirium, y no previenen discinesia tardía.</w:t>
      </w:r>
    </w:p>
    <w:p>
      <w:r>
        <w:t xml:space="preserve">La </w:t>
      </w:r>
      <w:r>
        <w:rPr>
          <w:b/>
        </w:rPr>
        <w:t>discinesia tardía</w:t>
      </w:r>
      <w:r>
        <w:t xml:space="preserve"> se expresa mediante movimientos persistentes, con frecuencia orobucales, pero también de tronco o extremidades. Se pesquisa con examen periódico y, cuando sea posible, una herramienta estructurada. La estrategia incluye reducir exposición innecesaria, revisar el agente y considerar tratamientos específicos disponibles. Ocultarla bajo “movimientos basales” sin comparación previa es justamente por qué se necesita un examen antes de iniciar.</w:t>
      </w:r>
    </w:p>
    <w:p>
      <w:pPr>
        <w:pStyle w:val="Heading1"/>
      </w:pPr>
      <w:r>
        <w:t>Riesgos metabólicos, endocrinos y cardiovasculares</w:t>
      </w:r>
    </w:p>
    <w:p>
      <w:r>
        <w:t>El aumento de peso puede comenzar en las primeras semanas. Se interviene desde el inicio con información, alimentación posible, actividad adaptada y revisión del fármaco; no se atribuye a falta de voluntad. Presión, glicemia o HbA1c y lípidos permiten detectar riesgo cardiometabólico. Tabaquismo, sueño, pobreza alimentaria y barreras de acceso también forman parte de la formulación.</w:t>
      </w:r>
    </w:p>
    <w:p>
      <w:r>
        <w:t>La hiperprolactinemia puede manifestarse como galactorrea, alteraciones menstruales, disfunción sexual, infertilidad y consecuencias óseas. Se pregunta activamente; la vergüenza hace que rara vez aparezca espontáneamente. La medición se decide según síntomas, riesgo, fármaco y protocolo, interpretando otras causas posibles.</w:t>
      </w:r>
    </w:p>
    <w:p>
      <w:r>
        <w:t>Para QT se consideran síncope, cardiopatía, historia familiar de muerte súbita, electrolitos, dosis y combinaciones. El ECG se solicita cuando el perfil del fármaco, la historia o el contexto lo indican. Sedación, hipotensión ortostática, caídas, disfunción sexual y carga anticolinérgica pueden ser tan determinantes para continuidad como un resultado de laboratorio.</w:t>
      </w:r>
    </w:p>
    <w:p>
      <w:r>
        <w:t>Fiebre, rigidez generalizada, alteración mental, elevación de creatina quinasa y disautonomía hacen sospechar síndrome neuroléptico maligno. Se suspende el agente y se requiere atención médica urgente; no se maneja aumentando sedación en la consulta.</w:t>
      </w:r>
    </w:p>
    <w:p>
      <w:pPr>
        <w:pStyle w:val="Heading1"/>
      </w:pPr>
      <w:r>
        <w:t>Monitorización que conduce a decisiones</w:t>
      </w:r>
    </w:p>
    <w:p>
      <w:r>
        <w:t>Antes de iniciar se registran peso o IMC, idealmente cintura, pulso, presión, glicemia en ayunas o HbA1c, lípidos, alimentación, actividad, tabaquismo y examen de movimientos. Se revisan antecedentes cardiovasculares, embarazo cuando corresponda y efectos sexuales. NICE incluye prolactina basal; otros protocolos la seleccionan según fármaco y riesgo, de modo que debe declararse qué estándar se sigue. El ECG se solicita por riesgo cardiovascular, indicación de la ficha técnica, ingreso hospitalario o protocolo; no es intercambiable con “escuchar el corazón”.</w:t>
      </w:r>
    </w:p>
    <w:p>
      <w:r>
        <w:t>Durante la titulación se controlan respuesta, efectos, movimientos y adherencia. Un esquema práctico basado en guías es revisar peso semanalmente durante las primeras seis semanas y nuevamente alrededor de las doce; pulso, presión, glicemia o HbA1c y lípidos aproximadamente a las doce semanas. Después se realizan controles periódicos y al menos anuales, con mayor frecuencia según fármaco, riesgo, cambios y protocolo chileno local.</w:t>
      </w:r>
    </w:p>
    <w:p>
      <w:r>
        <w:t>Cada resultado debe tener responsable. Un aumento rápido de peso, hiperglicemia, dislipidemia o presión elevada exige intervención y coordinación con atención primaria o medicina, no sólo repetir el examen un año después. La salud física no se terceriza hacia un “alguien” imaginario.</w:t>
      </w:r>
    </w:p>
    <w:p>
      <w:pPr>
        <w:pStyle w:val="Heading1"/>
      </w:pPr>
      <w:r>
        <w:t>Inyectables de acción prolongada y continuidad</w:t>
      </w:r>
    </w:p>
    <w:p>
      <w:r>
        <w:t>Los inyectables de acción prolongada pueden ofrecerse por preferencia, recaídas asociadas a discontinuidad, dificultad con dosis diarias o adherencia incierta. No son un castigo ni deben reservarse hasta etiquetar a la persona como “incumplidora”. La decisión compartida puede plantearse desde etapas tempranas.</w:t>
      </w:r>
    </w:p>
    <w:p>
      <w:r>
        <w:t>Antes de iniciar se comprueba tolerabilidad oral cuando el producto lo exige y se explican intervalo, técnica, eventual dosis de carga, cobertura oral y manejo de dosis omitida, que varían entre formulaciones. Se registra nombre exacto, dosis, fecha, sitio, próxima administración y responsable. Una formulación prolongada no elimina efectos adversos ni reemplaza la alianza.</w:t>
      </w:r>
    </w:p>
    <w:p>
      <w:r>
        <w:t>En Nicolás, reconocer acatisia y efectos por prolactina cambia más el pronóstico que aumentar la dosis. Eficacia sin tolerabilidad conduce a discontinuación; tolerabilidad sin eficacia prolonga una exposición inútil.</w:t>
      </w:r>
    </w:p>
    <w:p>
      <w:pPr>
        <w:pStyle w:val="Heading1"/>
      </w:pPr>
      <w:r>
        <w:t>Errores frecuentes</w:t>
      </w:r>
    </w:p>
    <w:p>
      <w:pPr>
        <w:pStyle w:val="ListBullet"/>
      </w:pPr>
      <w:r>
        <w:t>Elegir sólo por “generación” y no por el perfil individual.</w:t>
      </w:r>
    </w:p>
    <w:p>
      <w:pPr>
        <w:pStyle w:val="ListBullet"/>
      </w:pPr>
      <w:r>
        <w:t>Confundir sedación o control conductual con respuesta antipsicótica.</w:t>
      </w:r>
    </w:p>
    <w:p>
      <w:pPr>
        <w:pStyle w:val="ListBullet"/>
      </w:pPr>
      <w:r>
        <w:t>Aumentar dosis antes de revisar tiempo, adherencia, sustancias e interacciones.</w:t>
      </w:r>
    </w:p>
    <w:p>
      <w:pPr>
        <w:pStyle w:val="ListBullet"/>
      </w:pPr>
      <w:r>
        <w:t>Interpretar acatisia como ansiedad o empeoramiento psicótico.</w:t>
      </w:r>
    </w:p>
    <w:p>
      <w:pPr>
        <w:pStyle w:val="ListBullet"/>
      </w:pPr>
      <w:r>
        <w:t>Mantener anticolinérgicos profilácticos sin una indicación vigente.</w:t>
      </w:r>
    </w:p>
    <w:p>
      <w:pPr>
        <w:pStyle w:val="ListBullet"/>
      </w:pPr>
      <w:r>
        <w:t>Solicitar monitorización metabólica y no actuar sobre los resultados.</w:t>
      </w:r>
    </w:p>
    <w:p>
      <w:pPr>
        <w:pStyle w:val="ListBullet"/>
      </w:pPr>
      <w:r>
        <w:t>Utilizar formulaciones prolongadas como sanción o sin explicar requisitos específicos.</w:t>
      </w:r>
    </w:p>
    <w:p>
      <w:pPr>
        <w:pStyle w:val="Heading1"/>
      </w:pPr>
      <w:r>
        <w:t>Para recordar</w:t>
      </w:r>
    </w:p>
    <w:p>
      <w:pPr>
        <w:spacing w:after="60" w:line="288" w:lineRule="auto"/>
        <w:ind w:left="432" w:hanging="216"/>
        <w:shd w:fill="EAF6F3"/>
        <w:keepNext/>
        <w:keepLines/>
        <w:pBdr>
          <w:left w:val="single" w:sz="8" w:space="8" w:color="2A8C82"/>
        </w:pBdr>
      </w:pPr>
      <w:r>
        <w:t>1. La elección del antipsicótico es individual, explícita y compartida.</w:t>
      </w:r>
    </w:p>
    <w:p>
      <w:pPr>
        <w:spacing w:after="60" w:line="288" w:lineRule="auto"/>
        <w:ind w:left="432" w:hanging="216"/>
        <w:shd w:fill="EAF6F3"/>
        <w:keepNext/>
        <w:keepLines/>
        <w:pBdr>
          <w:left w:val="single" w:sz="8" w:space="8" w:color="2A8C82"/>
        </w:pBdr>
      </w:pPr>
      <w:r>
        <w:t>2. En primer episodio, una dosis menor puede ofrecer suficiente eficacia con menos toxicidad.</w:t>
      </w:r>
    </w:p>
    <w:p>
      <w:pPr>
        <w:spacing w:after="60" w:line="288" w:lineRule="auto"/>
        <w:ind w:left="432" w:hanging="216"/>
        <w:shd w:fill="EAF6F3"/>
        <w:keepNext/>
        <w:keepLines/>
        <w:pBdr>
          <w:left w:val="single" w:sz="8" w:space="8" w:color="2A8C82"/>
        </w:pBdr>
      </w:pPr>
      <w:r>
        <w:t>3. La acatisia debe buscarse activamente antes de interpretar inquietud como psicosis.</w:t>
      </w:r>
    </w:p>
    <w:p>
      <w:pPr>
        <w:spacing w:after="60" w:line="288" w:lineRule="auto"/>
        <w:ind w:left="432" w:hanging="216"/>
        <w:shd w:fill="EAF6F3"/>
        <w:keepNext/>
        <w:keepLines/>
        <w:pBdr>
          <w:left w:val="single" w:sz="8" w:space="8" w:color="2A8C82"/>
        </w:pBdr>
      </w:pPr>
      <w:r>
        <w:t>4. La prevención metabólica comienza antes del aumento de peso.</w:t>
      </w:r>
    </w:p>
    <w:p>
      <w:pPr>
        <w:spacing w:after="60" w:line="288" w:lineRule="auto"/>
        <w:ind w:left="432" w:hanging="216"/>
        <w:shd w:fill="EAF6F3"/>
        <w:keepLines/>
        <w:pBdr>
          <w:left w:val="single" w:sz="8" w:space="8" w:color="2A8C82"/>
        </w:pBdr>
      </w:pPr>
      <w:r>
        <w:t>5. La continuidad requiere que eficacia, tolerabilidad y acceso coexistan.</w:t>
      </w:r>
    </w:p>
    <w:p>
      <w:pPr>
        <w:pStyle w:val="Heading1"/>
      </w:pPr>
      <w:r>
        <w:t>Bibliografía esencial</w:t>
      </w:r>
    </w:p>
    <w:p>
      <w:pPr>
        <w:pStyle w:val="Bibliography"/>
      </w:pPr>
      <w:r>
        <w:t xml:space="preserve">• Keepers GA, Fochtmann LJ, Anzia JM, et al. The American Psychiatric Association Practice Guideline for the Treatment of Patients With Schizophrenia. </w:t>
      </w:r>
      <w:r>
        <w:rPr>
          <w:i/>
        </w:rPr>
        <w:t>Am J Psychiatry</w:t>
      </w:r>
      <w:r>
        <w:t xml:space="preserve">. 2020;177(9):868-872. </w:t>
      </w:r>
      <w:hyperlink r:id="rId58">
        <w:r>
          <w:rPr>
            <w:color w:val="246B8E"/>
            <w:u w:val="single"/>
          </w:rPr>
          <w:t>Guía</w:t>
        </w:r>
      </w:hyperlink>
      <w:r>
        <w:t>.</w:t>
      </w:r>
    </w:p>
    <w:p>
      <w:pPr>
        <w:pStyle w:val="Bibliography"/>
      </w:pPr>
      <w:r>
        <w:t xml:space="preserve">• National Institute for Health and Care Excellence. </w:t>
      </w:r>
      <w:r>
        <w:rPr>
          <w:i/>
        </w:rPr>
        <w:t>Psychosis and schizophrenia in adults: prevention and management</w:t>
      </w:r>
      <w:r>
        <w:t xml:space="preserve">. Clinical guideline CG178. </w:t>
      </w:r>
      <w:hyperlink r:id="rId57">
        <w:r>
          <w:rPr>
            <w:color w:val="246B8E"/>
            <w:u w:val="single"/>
          </w:rPr>
          <w:t>Recomendaciones</w:t>
        </w:r>
      </w:hyperlink>
      <w:r>
        <w:t>.</w:t>
      </w:r>
    </w:p>
    <w:p>
      <w:pPr>
        <w:pStyle w:val="Bibliography"/>
      </w:pPr>
      <w:r>
        <w:t xml:space="preserve">• Huhn M, Nikolakopoulou A, Schneider-Thoma J, et al. Comparative efficacy and tolerability of 32 oral antipsychotics for the acute treatment of adults with multi-episode schizophrenia: a systematic review and network meta-analysis. </w:t>
      </w:r>
      <w:r>
        <w:rPr>
          <w:i/>
        </w:rPr>
        <w:t>Lancet</w:t>
      </w:r>
      <w:r>
        <w:t xml:space="preserve">. 2019;394(10202):939-951. </w:t>
      </w:r>
      <w:hyperlink r:id="rId60">
        <w:r>
          <w:rPr>
            <w:color w:val="246B8E"/>
            <w:u w:val="single"/>
          </w:rPr>
          <w:t>Artículo</w:t>
        </w:r>
      </w:hyperlink>
      <w:r>
        <w:t>.</w:t>
      </w:r>
    </w:p>
    <w:p>
      <w:pPr>
        <w:pStyle w:val="Bibliography"/>
      </w:pPr>
      <w:r>
        <w:t xml:space="preserve">• Stroup TS, Gray N. Management of common adverse effects of antipsychotic medications. </w:t>
      </w:r>
      <w:r>
        <w:rPr>
          <w:i/>
        </w:rPr>
        <w:t>World Psychiatry</w:t>
      </w:r>
      <w:r>
        <w:t xml:space="preserve">. 2018;17(3):341-356. </w:t>
      </w:r>
      <w:hyperlink r:id="rId61">
        <w:r>
          <w:rPr>
            <w:color w:val="246B8E"/>
            <w:u w:val="single"/>
          </w:rPr>
          <w:t>Texto completo</w:t>
        </w:r>
      </w:hyperlink>
      <w:r>
        <w:t>.</w:t>
      </w:r>
    </w:p>
    <w:p>
      <w:pPr>
        <w:pStyle w:val="Bibliography"/>
      </w:pPr>
      <w:r>
        <w:t xml:space="preserve">• American Psychiatric Association. </w:t>
      </w:r>
      <w:r>
        <w:rPr>
          <w:i/>
        </w:rPr>
        <w:t>Diagnostic and Statistical Manual of Mental Disorders: DSM-5-TR</w:t>
      </w:r>
      <w:r>
        <w:t xml:space="preserve">. 2022. </w:t>
      </w:r>
      <w:hyperlink r:id="rId49">
        <w:r>
          <w:rPr>
            <w:color w:val="246B8E"/>
            <w:u w:val="single"/>
          </w:rPr>
          <w:t>Referencia editorial</w:t>
        </w:r>
      </w:hyperlink>
      <w:r>
        <w:t>.</w:t>
      </w:r>
    </w:p>
    <w:p>
      <w:r>
        <w:br w:type="page"/>
      </w:r>
    </w:p>
    <w:p>
      <w:pPr>
        <w:spacing w:after="480"/>
      </w:pPr>
      <w:r>
        <w:rPr>
          <w:rFonts w:ascii="Calibri" w:hAnsi="Calibri"/>
          <w:b/>
          <w:color w:val="2A8C82"/>
          <w:sz w:val="20"/>
        </w:rPr>
        <w:t>CAPÍTULO 24 · MATERIAL PARA ESTUDIANTES</w:t>
      </w:r>
    </w:p>
    <w:tbl>
      <w:tblPr>
        <w:tblW w:type="auto" w:w="0"/>
        <w:jc w:val="left"/>
        <w:tblLayout w:type="fixed"/>
        <w:tblLook w:firstColumn="1" w:firstRow="1" w:lastColumn="0" w:lastRow="0" w:noHBand="0" w:noVBand="1" w:val="04A0"/>
      </w:tblPr>
      <w:tblGrid>
        <w:gridCol w:w="9648"/>
      </w:tblGrid>
      <w:tr>
        <w:trPr>
          <w:tblHeader w:val="true"/>
        </w:trPr>
        <w:tc>
          <w:tcPr>
            <w:tcW w:type="dxa" w:w="9072"/>
            <w:shd w:fill="173A5E"/>
            <w:tcMar>
              <w:top w:w="120" w:type="dxa"/>
              <w:start w:w="220" w:type="dxa"/>
              <w:bottom w:w="120" w:type="dxa"/>
              <w:end w:w="220" w:type="dxa"/>
            </w:tcMar>
          </w:tcPr>
          <w:p>
            <w:pPr>
              <w:spacing w:after="0"/>
            </w:pPr>
            <w:r>
              <w:rPr>
                <w:rFonts w:ascii="Calibri" w:hAnsi="Calibri"/>
                <w:b/>
                <w:color w:val="FFFFFF"/>
                <w:sz w:val="19"/>
              </w:rPr>
              <w:t>MÓDULO II · PATOLOGÍAS, GES Y TRATAMIENTOS</w:t>
            </w:r>
          </w:p>
        </w:tc>
      </w:tr>
    </w:tbl>
    <w:p>
      <w:pPr>
        <w:pStyle w:val="Title"/>
        <w:spacing w:before="520" w:after="360"/>
        <w:outlineLvl w:val="0"/>
      </w:pPr>
      <w:bookmarkStart w:id="1024" w:name="chapter_24"/>
      <w:r>
        <w:t>Esquizofrenia resistente y clozapina</w:t>
      </w:r>
      <w:bookmarkEnd w:id="1024"/>
    </w:p>
    <w:p>
      <w:pPr>
        <w:spacing w:after="80"/>
      </w:pPr>
      <w:r>
        <w:rPr>
          <w:rFonts w:ascii="Calibri" w:hAnsi="Calibri"/>
          <w:b/>
          <w:color w:val="246B8E"/>
          <w:sz w:val="26"/>
        </w:rPr>
        <w:t>Programa de Psiquiatría para internos de Medicina</w:t>
      </w:r>
    </w:p>
    <w:p>
      <w:r>
        <w:rPr>
          <w:rFonts w:ascii="Calibri" w:hAnsi="Calibri"/>
          <w:color w:val="6B7280"/>
          <w:sz w:val="22"/>
        </w:rPr>
        <w:t>Lectura complementaria · Chile · Versión final para revisión humana · 2026</w:t>
      </w:r>
    </w:p>
    <w:p/>
    <w:p/>
    <w:p/>
    <w:p/>
    <w:p/>
    <w:tbl>
      <w:tblPr>
        <w:tblW w:type="auto" w:w="0"/>
        <w:jc w:val="left"/>
        <w:tblLayout w:type="fixed"/>
        <w:tblLook w:firstColumn="1" w:firstRow="1" w:lastColumn="0" w:lastRow="0" w:noHBand="0" w:noVBand="1" w:val="04A0"/>
      </w:tblPr>
      <w:tblGrid>
        <w:gridCol w:w="9648"/>
      </w:tblGrid>
      <w:tr>
        <w:trPr>
          <w:tblHeader w:val="true"/>
        </w:trPr>
        <w:tc>
          <w:tcPr>
            <w:tcW w:type="dxa" w:w="9648"/>
            <w:shd w:fill="F3F5F6"/>
            <w:tcBorders>
              <w:start w:val="single" w:sz="18" w:color="2A8C82"/>
            </w:tcBorders>
            <w:tcMar>
              <w:top w:w="160" w:type="dxa"/>
              <w:start w:w="220" w:type="dxa"/>
              <w:bottom w:w="160" w:type="dxa"/>
              <w:end w:w="220" w:type="dxa"/>
            </w:tcMar>
          </w:tcPr>
          <w:p>
            <w:pPr>
              <w:spacing w:after="0"/>
            </w:pPr>
            <w:r>
              <w:rPr>
                <w:rFonts w:ascii="Calibri" w:hAnsi="Calibri"/>
                <w:i/>
                <w:color w:val="6B7280"/>
                <w:sz w:val="18"/>
              </w:rPr>
              <w:t>Versión docente final para revisión humana. Material propuesto y contextualizado a Chile; no corresponde a un programa oficial de la Pontificia Universidad Católica de Chile ni sustituye protocolos locales, supervisión clínica o evaluación especializada. Fuentes revisadas al 15 de agosto de 2026.</w:t>
            </w:r>
          </w:p>
        </w:tc>
      </w:tr>
    </w:tbl>
    <w:p>
      <w:r>
        <w:br w:type="page"/>
      </w:r>
    </w:p>
    <w:tbl>
      <w:tblPr>
        <w:tblW w:type="auto" w:w="0"/>
        <w:jc w:val="center"/>
        <w:tblLayout w:type="autofit"/>
        <w:tblLook w:firstColumn="1" w:firstRow="1" w:lastColumn="0" w:lastRow="0" w:noHBand="0" w:noVBand="1" w:val="04A0"/>
      </w:tblPr>
      <w:tblGrid>
        <w:gridCol w:w="9648"/>
      </w:tblGrid>
      <w:tr>
        <w:trPr>
          <w:tblHeader w:val="true"/>
        </w:trPr>
        <w:tc>
          <w:tcPr>
            <w:tcW w:type="dxa" w:w="9648"/>
            <w:vAlign w:val="center"/>
            <w:shd w:fill="EAF3F7"/>
            <w:tcBorders>
              <w:start w:val="single" w:sz="14" w:color="2A8C82"/>
            </w:tcBorders>
            <w:tcMar>
              <w:top w:w="130" w:type="dxa"/>
              <w:start w:w="190" w:type="dxa"/>
              <w:bottom w:w="130" w:type="dxa"/>
              <w:end w:w="190" w:type="dxa"/>
            </w:tcMar>
          </w:tcPr>
          <w:p>
            <w:pPr>
              <w:spacing w:after="0"/>
            </w:pPr>
            <w:r>
              <w:rPr>
                <w:b/>
                <w:color w:val="173A5E"/>
              </w:rPr>
              <w:t xml:space="preserve">PREGUNTA CLÍNICA  </w:t>
            </w:r>
            <w:r>
              <w:t>¿Cuándo corresponde declarar resistencia e iniciar clozapina, y cómo evitar que su eficacia se pague con toxicidad prevenible?</w:t>
            </w:r>
          </w:p>
        </w:tc>
      </w:tr>
    </w:tbl>
    <w:p>
      <w:pPr>
        <w:spacing w:after="0"/>
      </w:pPr>
    </w:p>
    <w:tbl>
      <w:tblPr>
        <w:tblW w:type="auto" w:w="0"/>
        <w:jc w:val="center"/>
        <w:tblLayout w:type="autofit"/>
        <w:tblLook w:firstColumn="1" w:firstRow="1" w:lastColumn="0" w:lastRow="0" w:noHBand="0" w:noVBand="1" w:val="04A0"/>
      </w:tblPr>
      <w:tblGrid>
        <w:gridCol w:w="9648"/>
      </w:tblGrid>
      <w:tr>
        <w:trPr>
          <w:tblHeader w:val="true"/>
        </w:trPr>
        <w:tc>
          <w:tcPr>
            <w:tcW w:type="dxa" w:w="9648"/>
            <w:vAlign w:val="center"/>
            <w:shd w:fill="EAF6F3"/>
            <w:tcBorders>
              <w:start w:val="single" w:sz="14" w:color="2A8C82"/>
            </w:tcBorders>
            <w:tcMar>
              <w:top w:w="130" w:type="dxa"/>
              <w:start w:w="190" w:type="dxa"/>
              <w:bottom w:w="130" w:type="dxa"/>
              <w:end w:w="190" w:type="dxa"/>
            </w:tcMar>
          </w:tcPr>
          <w:p>
            <w:pPr>
              <w:spacing w:after="0"/>
            </w:pPr>
            <w:r>
              <w:rPr>
                <w:b/>
                <w:color w:val="173A5E"/>
              </w:rPr>
              <w:t xml:space="preserve">IDEA CENTRAL  </w:t>
            </w:r>
            <w:r>
              <w:t>retrasar clozapina después de confirmar resistencia prolonga síntomas y deterioro; iniciarla sin comprobar diagnóstico, ensayos, adherencia y capacidad de monitorización también es mala medicina.</w:t>
            </w:r>
          </w:p>
        </w:tc>
      </w:tr>
    </w:tbl>
    <w:p>
      <w:pPr>
        <w:spacing w:after="0"/>
      </w:pPr>
    </w:p>
    <w:p>
      <w:pPr>
        <w:pStyle w:val="Heading1"/>
      </w:pPr>
      <w:r>
        <w:t>Por qué importa</w:t>
      </w:r>
    </w:p>
    <w:p>
      <w:r>
        <w:t>Clozapina es el tratamiento de elección para la esquizofrenia resistente, pero suele iniciarse tarde, después de múltiples cambios y combinaciones con escasa base. El error inverso es confundir dos nombres en una ficha con dos ensayos adecuados. La pseudorresistencia por baja adherencia, dosis insuficiente, sustancias o diagnóstico incorrecto debe corregirse antes de exponer a una persona a una farmacovigilancia exigente.</w:t>
      </w:r>
    </w:p>
    <w:p>
      <w:r>
        <w:t>El beneficio de clozapina convive con riesgos potencialmente mortales: neutropenia grave, miocarditis, hipomotilidad gastrointestinal, neumonía y convulsiones. La seguridad depende menos de recitar una lista que de organizar responsables, controles y una respuesta clara ante síntomas de alarma.</w:t>
      </w:r>
    </w:p>
    <w:p>
      <w:pPr>
        <w:pStyle w:val="Heading1"/>
      </w:pPr>
      <w:r>
        <w:t>Objetivos de aprendizaje</w:t>
      </w:r>
    </w:p>
    <w:p>
      <w:pPr>
        <w:pStyle w:val="ListBullet"/>
      </w:pPr>
      <w:r>
        <w:t>Definir resistencia y diferenciarla de pseudorresistencia.</w:t>
      </w:r>
    </w:p>
    <w:p>
      <w:pPr>
        <w:pStyle w:val="ListBullet"/>
      </w:pPr>
      <w:r>
        <w:t>Reconocer las indicaciones de clozapina respaldadas por guías.</w:t>
      </w:r>
    </w:p>
    <w:p>
      <w:pPr>
        <w:pStyle w:val="ListBullet"/>
      </w:pPr>
      <w:r>
        <w:t>Identificar requisitos basales, titulación y farmacovigilancia hematológica.</w:t>
      </w:r>
    </w:p>
    <w:p>
      <w:pPr>
        <w:pStyle w:val="ListBullet"/>
      </w:pPr>
      <w:r>
        <w:t>Detectar precozmente miocarditis, hipomotilidad intestinal, sedación, aspiración y convulsiones.</w:t>
      </w:r>
    </w:p>
    <w:p>
      <w:pPr>
        <w:pStyle w:val="ListBullet"/>
      </w:pPr>
      <w:r>
        <w:t>Comprender cómo tabaco, inflamación y medicamentos modifican niveles.</w:t>
      </w:r>
    </w:p>
    <w:p>
      <w:pPr>
        <w:pStyle w:val="ListBullet"/>
      </w:pPr>
      <w:r>
        <w:t>Utilizar monitorización plasmática en situaciones clínicas seleccionadas.</w:t>
      </w:r>
    </w:p>
    <w:p>
      <w:pPr>
        <w:pStyle w:val="ListBullet"/>
      </w:pPr>
      <w:r>
        <w:t>Explicar el lugar de clozapina en GES 15 sin convertir la canasta en indicación automática.</w:t>
      </w:r>
    </w:p>
    <w:p>
      <w:pPr>
        <w:pStyle w:val="Heading1"/>
      </w:pPr>
      <w:r>
        <w:t>Caso clínico</w:t>
      </w:r>
    </w:p>
    <w:p>
      <w:pPr>
        <w:shd w:fill="EAF3F7"/>
        <w:keepLines/>
        <w:pBdr>
          <w:left w:val="single" w:sz="8" w:space="8" w:color="246B8E"/>
        </w:pBdr>
        <w:ind w:left="173" w:right="86"/>
      </w:pPr>
      <w:r>
        <w:t>Mauricio, de 34 años, mantiene voces persecutorias y gran interferencia funcional después de varios años de atención. Su familia afirma que “falló a todo”. Al revisar registros, uno de los dos primeros ensayos duró pocas semanas y durante otro dejó la medicación por un mes mientras consumía cocaína. Tras estabilizar consumo y completar dos ensayos secuenciales con dosis, duración y adherencia verificables, persisten síntomas graves. La primera parte de su historia correspondía a pseudorresistencia; la trayectoria posterior sí cumple criterios clínicos de resistencia y hace pertinente ofrecer clozapina.</w:t>
      </w:r>
    </w:p>
    <w:p>
      <w:pPr>
        <w:pStyle w:val="Heading1"/>
      </w:pPr>
      <w:r>
        <w:t>Confirmar resistencia antes de tratarla</w:t>
      </w:r>
    </w:p>
    <w:p>
      <w:r>
        <w:t>La resistencia se define por persistencia de síntomas clínicamente relevantes y deterioro pese a al menos dos ensayos antipsicóticos distintos, secuenciales, con dosis, duración y adherencia suficientes. Deben definirse síntomas diana y documentar cuánto cambiaron. La presencia de una voz residual sin sufrimiento ni interferencia no equivale necesariamente a resistencia, y un predominio de síntomas negativos, cognitivos, afectivos u obsesivos puede responder poco a seguir cambiando antipsicóticos.</w:t>
      </w:r>
    </w:p>
    <w:p>
      <w:r>
        <w:t>La historia debe comprobar qué ocurrió realmente en cada ensayo: indicación, dosis alcanzada, tiempo en dosis terapéutica, regularidad, respuesta, efectos adversos y razón de suspensión. Cuando es posible, se complementa el relato con dispensación, fichas, información colateral y niveles plasmáticos. Una formulación inyectable prolongada puede ayudar a evaluar exposición en situaciones seleccionadas, pero no debe utilizarse como prueba coercitiva.</w:t>
      </w:r>
    </w:p>
    <w:p>
      <w:r>
        <w:t>La pseudorresistencia incluye diagnóstico equivocado —por ejemplo, trastorno afectivo, TOC, trauma, autismo, delirium o condición neurológica—, exposición insuficiente, interacciones, metabolismo acelerado, consumo persistente y falta de acceso. Estrés extremo y ausencia de intervenciones psicosociales pueden mantener sufrimiento y deterioro aunque el antipsicótico reduzca síntomas positivos. Aumentar dosis indiscriminadamente no corrige ninguno de estos problemas.</w:t>
      </w:r>
    </w:p>
    <w:p>
      <w:pPr>
        <w:pStyle w:val="Heading1"/>
      </w:pPr>
      <w:r>
        <w:t>Indicación y decisión compartida</w:t>
      </w:r>
    </w:p>
    <w:p>
      <w:r>
        <w:t>Las guías recomiendan clozapina después de dos ensayos adecuados sin respuesta suficiente. También cuenta con respaldo en esquizofrenia cuando el riesgo de conducta suicida permanece sustancial pese a otros tratamientos; puede considerarse ante agresividad persistente grave en circunstancias seleccionadas y especializadas. No es un fármaco inicial rutinario.</w:t>
      </w:r>
    </w:p>
    <w:p>
      <w:r>
        <w:t>La conversación debe equilibrar beneficio y carga. Se explican probabilidad de mejoría, controles sanguíneos, titulación, efectos frecuentes y señales graves, evitando una presentación tan alarmista que haga imposible elegir. Se consideran transporte, laboratorio, farmacia, apoyo y teléfono de contacto. Prescribir sin asegurar el circuito de controles crea una receta, no un tratamiento.</w:t>
      </w:r>
    </w:p>
    <w:p>
      <w:r>
        <w:t>La decisión y el consentimiento se documentan. El equipo —psiquiatra, enfermería, farmacia, laboratorio y atención médica— necesita responsabilidades explícitas. El interno puede reconocer una indicación y detectar alarmas, pero el inicio, titulación y decisiones hematológicas pertenecen a un circuito especializado.</w:t>
      </w:r>
    </w:p>
    <w:p>
      <w:pPr>
        <w:pStyle w:val="Heading1"/>
      </w:pPr>
      <w:r>
        <w:t>Evaluación basal, inicio y hematología</w:t>
      </w:r>
    </w:p>
    <w:p>
      <w:r>
        <w:t>Antes de iniciar se obtiene hemograma con recuento absoluto de neutrófilos y se revisan antecedentes hematológicos. También se registran peso, cintura, presión, pulso, glicemia o HbA1c, lípidos, función hepática y renal según protocolo, ECG y evaluación cardíaca, riesgo convulsivo, hábito intestinal, tabaquismo, cafeína y medicamentos concomitantes. Se considera embarazo cuando corresponda.</w:t>
      </w:r>
    </w:p>
    <w:p>
      <w:r>
        <w:t>Se comienza con dosis baja y titulación gradual. La velocidad se individualiza según edad, comorbilidad, entorno, tolerancia y factores que afectan metabolismo. Sedación excesiva, hipotensión, taquicardia persistente o inflamación son razones para pausar y reevaluar, no para completar mecánicamente un calendario. Después de una interrupción clínicamente relevante —muchas fichas técnicas utilizan más de 48 horas— no se reinicia la dosis completa previa: se verifica la norma nacional, la ficha del producto y el protocolo, y se retitula bajo supervisión para reducir hipotensión, colapso y convulsiones.</w:t>
      </w:r>
    </w:p>
    <w:p>
      <w:r>
        <w:t>En Chile, la Norma Técnica MINSAL de 2018 estableció farmacovigilancia intensiva con hemograma y recuento absoluto de neutrófilos semanal durante las primeras 18 semanas y luego mensual mientras continúa el tratamiento. Debe leerse junto con su modificación por Resolución Exenta N.º 663 de 2022 y con cualquier actualización posterior, ficha sanitaria e instrucción institucional. Los umbrales, dispensación, suspensión y reexposición no deben copiarse desde una tabla extranjera ni desde este resumen docente: se aplican desde la norma chilena vigente.</w:t>
      </w:r>
    </w:p>
    <w:p>
      <w:r>
        <w:t>Fiebre, odinofagia o signos de infección requieren comunicación inmediata, evaluación médica y hemograma urgente. Neutropenia no se maneja improvisando suspensión, continuación o reexposición: se activa el circuito especializado y, cuando corresponde, hematología. La monitorización reduce riesgo sólo si el resultado se revisa antes de dispensar y existe un plan para actuar.</w:t>
      </w:r>
    </w:p>
    <w:p>
      <w:pPr>
        <w:pStyle w:val="Heading1"/>
      </w:pPr>
      <w:r>
        <w:t>Miocarditis, intestino y otras toxicidades graves</w:t>
      </w:r>
    </w:p>
    <w:p>
      <w:r>
        <w:t>La miocarditis aparece con mayor frecuencia durante las primeras semanas. Taquicardia persistente en reposo, fiebre, dolor torácico, disnea, palpitaciones, fatiga desproporcionada o síntomas seudogripales exigen evaluación urgente. ECG, troponina, proteína C reactiva, ecocardiografía y otros estudios se solicitan según presentación y protocolo. No toda taquicardia es miocarditis, pero atribuirla automáticamente a “ansiedad” puede ser fatal.</w:t>
      </w:r>
    </w:p>
    <w:p>
      <w:r>
        <w:t>La constipación por clozapina puede progresar a impactación, obstrucción, isquemia o íleo. Se pregunta activamente por frecuencia, consistencia, dolor, distensión, vómitos y eliminación de gases; “no se queja” no es monitorización. El plan preventivo incluye educación, registro intestinal y manejo laxante según riesgo y protocolo. Dolor intenso, distensión, vómitos o ausencia de tránsito son señales de urgencia. Anticolinérgicos, opioides y otros fármacos constipantes deben revisarse.</w:t>
      </w:r>
    </w:p>
    <w:p>
      <w:r>
        <w:t>Sedación y sialorrea favorecen aspiración y neumonía, especialmente de noche. Hipotensión ortostática aumenta caídas. El riesgo convulsivo se relaciona con dosis, concentración, titulación e interacciones. Peso, diabetes y dislipidemia requieren el mismo seguimiento activo que con otros antipsicóticos, a menudo con mayor vigilancia. Recordar sólo agranulocitosis deja fuera varias causas evitables de daño.</w:t>
      </w:r>
    </w:p>
    <w:p>
      <w:pPr>
        <w:pStyle w:val="Heading1"/>
      </w:pPr>
      <w:r>
        <w:t>Tabaco, infección, interacciones y niveles</w:t>
      </w:r>
    </w:p>
    <w:p>
      <w:r>
        <w:t>El humo del tabaco induce CYP1A2 y puede disminuir concentraciones de clozapina. Reducir o suspender cigarrillos —como ocurre al hospitalizar— puede elevarlas en pocos días; reiniciar el consumo puede disminuirlas. El efecto proviene de productos de combustión, no de la nicotina: parches o vapeo no mantienen necesariamente la misma inducción. Todo cambio debe comunicarse para revisión clínica y eventual ajuste supervisado.</w:t>
      </w:r>
    </w:p>
    <w:p>
      <w:r>
        <w:t>La inflamación por infección puede inhibir el metabolismo y aumentar niveles, generando sedación, confusión, sialorrea, mioclonías o convulsiones. Cafeína en grandes cantidades, fluvoxamina, ciprofloxacino y otros inhibidores pueden elevar exposición; inductores pueden reducirla. Carbamazepina agrega riesgo hematológico y suele evitarse. La lista completa debe revisarse en una fuente farmacológica actual.</w:t>
      </w:r>
    </w:p>
    <w:p>
      <w:r>
        <w:t>Los niveles plasmáticos son útiles ante respuesta insuficiente, toxicidad, duda de adherencia, cambio de tabaco, interacción o infección. Se interpretan con hora de muestra, última dosis, estabilidad posológica, clínica y tendencia. Una cifra aislada no reemplaza el juicio ni autoriza al paciente a ajustar por su cuenta.</w:t>
      </w:r>
    </w:p>
    <w:p>
      <w:pPr>
        <w:pStyle w:val="Heading1"/>
      </w:pPr>
      <w:r>
        <w:t>Evaluar respuesta, continuidad y GES</w:t>
      </w:r>
    </w:p>
    <w:p>
      <w:r>
        <w:t>La respuesta se mide en síntomas positivos, negativos, afectivos y funcionamiento durante un tiempo suficiente. Antes de agregar otro antipsicótico se optimizan adherencia, titulación, nivel y duración. La combinación automática aumenta carga sin demostrar que clozapina falló.</w:t>
      </w:r>
    </w:p>
    <w:p>
      <w:r>
        <w:t>No se suspende bruscamente salvo una emergencia que lo exija. La interrupción puede producir rebote psicótico y síntomas colinérgicos; si es necesaria, se coordina manejo especializado y futura retitulación. La continuidad incluye intestino, corazón, metabolismo, tabaco y objetivos personales, no sólo neutrófilos.</w:t>
      </w:r>
    </w:p>
    <w:p>
      <w:r>
        <w:t>La canasta GES 15 incluye clozapina y hemogramas. Eso facilita acceso, pero no indica que toda persona con esquizofrenia deba recibirla. Se mantienen criterios clínicos, consentimiento, farmacovigilancia y circuito de dispensación. GES financia prestaciones; no sustituye seguridad.</w:t>
      </w:r>
    </w:p>
    <w:p>
      <w:pPr>
        <w:pStyle w:val="Heading1"/>
      </w:pPr>
      <w:r>
        <w:t>Errores frecuentes</w:t>
      </w:r>
    </w:p>
    <w:p>
      <w:pPr>
        <w:pStyle w:val="ListBullet"/>
      </w:pPr>
      <w:r>
        <w:t>Declarar resistencia a partir de dos recetas sin confirmar exposición.</w:t>
      </w:r>
    </w:p>
    <w:p>
      <w:pPr>
        <w:pStyle w:val="ListBullet"/>
      </w:pPr>
      <w:r>
        <w:t>Repetir cambios o combinaciones y retrasar clozapina tras resistencia verdadera.</w:t>
      </w:r>
    </w:p>
    <w:p>
      <w:pPr>
        <w:pStyle w:val="ListBullet"/>
      </w:pPr>
      <w:r>
        <w:t>Recordar sólo neutropenia y omitir miocarditis, intestino, aspiración y metabolismo.</w:t>
      </w:r>
    </w:p>
    <w:p>
      <w:pPr>
        <w:pStyle w:val="ListBullet"/>
      </w:pPr>
      <w:r>
        <w:t>Reiniciar la dosis previa después de una interrupción de varios días.</w:t>
      </w:r>
    </w:p>
    <w:p>
      <w:pPr>
        <w:pStyle w:val="ListBullet"/>
      </w:pPr>
      <w:r>
        <w:t>Ajustar sin preguntar por tabaco, cafeína, infección e interacciones.</w:t>
      </w:r>
    </w:p>
    <w:p>
      <w:pPr>
        <w:pStyle w:val="ListBullet"/>
      </w:pPr>
      <w:r>
        <w:t>Suspender abruptamente por un efecto menor sin plan especializado.</w:t>
      </w:r>
    </w:p>
    <w:p>
      <w:pPr>
        <w:pStyle w:val="ListBullet"/>
      </w:pPr>
      <w:r>
        <w:t>Confundir inclusión en la canasta GES con indicación clínica automática.</w:t>
      </w:r>
    </w:p>
    <w:p>
      <w:pPr>
        <w:pStyle w:val="Heading1"/>
      </w:pPr>
      <w:r>
        <w:t>Para recordar</w:t>
      </w:r>
    </w:p>
    <w:p>
      <w:pPr>
        <w:spacing w:after="60" w:line="288" w:lineRule="auto"/>
        <w:ind w:left="432" w:hanging="216"/>
        <w:shd w:fill="EAF6F3"/>
        <w:keepNext/>
        <w:keepLines/>
        <w:pBdr>
          <w:left w:val="single" w:sz="8" w:space="8" w:color="2A8C82"/>
        </w:pBdr>
      </w:pPr>
      <w:r>
        <w:t>1. Dos ensayos adecuados y verificables son el umbral; dos nombres en la ficha no lo son.</w:t>
      </w:r>
    </w:p>
    <w:p>
      <w:pPr>
        <w:spacing w:after="60" w:line="288" w:lineRule="auto"/>
        <w:ind w:left="432" w:hanging="216"/>
        <w:shd w:fill="EAF6F3"/>
        <w:keepNext/>
        <w:keepLines/>
        <w:pBdr>
          <w:left w:val="single" w:sz="8" w:space="8" w:color="2A8C82"/>
        </w:pBdr>
      </w:pPr>
      <w:r>
        <w:t>2. Clozapina no debe retrasarse cuando la resistencia está confirmada.</w:t>
      </w:r>
    </w:p>
    <w:p>
      <w:pPr>
        <w:spacing w:after="60" w:line="288" w:lineRule="auto"/>
        <w:ind w:left="432" w:hanging="216"/>
        <w:shd w:fill="EAF6F3"/>
        <w:keepNext/>
        <w:keepLines/>
        <w:pBdr>
          <w:left w:val="single" w:sz="8" w:space="8" w:color="2A8C82"/>
        </w:pBdr>
      </w:pPr>
      <w:r>
        <w:t>3. Neutrófilos, miocardio e intestino requieren vigilancia activa y responsables claros.</w:t>
      </w:r>
    </w:p>
    <w:p>
      <w:pPr>
        <w:spacing w:after="60" w:line="288" w:lineRule="auto"/>
        <w:ind w:left="432" w:hanging="216"/>
        <w:shd w:fill="EAF6F3"/>
        <w:keepNext/>
        <w:keepLines/>
        <w:pBdr>
          <w:left w:val="single" w:sz="8" w:space="8" w:color="2A8C82"/>
        </w:pBdr>
      </w:pPr>
      <w:r>
        <w:t>4. Tabaco, infección e interacciones pueden cambiar el nivel sin cambiar la receta.</w:t>
      </w:r>
    </w:p>
    <w:p>
      <w:pPr>
        <w:spacing w:after="60" w:line="288" w:lineRule="auto"/>
        <w:ind w:left="432" w:hanging="216"/>
        <w:shd w:fill="EAF6F3"/>
        <w:keepLines/>
        <w:pBdr>
          <w:left w:val="single" w:sz="8" w:space="8" w:color="2A8C82"/>
        </w:pBdr>
      </w:pPr>
      <w:r>
        <w:t>5. La farmacovigilancia hace posible el beneficio; no es burocracia decorativa.</w:t>
      </w:r>
    </w:p>
    <w:p>
      <w:pPr>
        <w:pStyle w:val="Heading1"/>
      </w:pPr>
      <w:r>
        <w:t>Bibliografía esencial</w:t>
      </w:r>
    </w:p>
    <w:p>
      <w:pPr>
        <w:pStyle w:val="Bibliography"/>
      </w:pPr>
      <w:r>
        <w:t xml:space="preserve">• Howes OD, McCutcheon R, Agid O, et al. Treatment-Resistant Schizophrenia: Treatment Response and Resistance in Psychosis Working Group Consensus Guidelines on Diagnosis and Terminology. </w:t>
      </w:r>
      <w:r>
        <w:rPr>
          <w:i/>
        </w:rPr>
        <w:t>Am J Psychiatry</w:t>
      </w:r>
      <w:r>
        <w:t xml:space="preserve">. 2017;174(3):216-229. </w:t>
      </w:r>
      <w:hyperlink r:id="rId62">
        <w:r>
          <w:rPr>
            <w:color w:val="246B8E"/>
            <w:u w:val="single"/>
          </w:rPr>
          <w:t>Consenso TRRIP</w:t>
        </w:r>
      </w:hyperlink>
      <w:r>
        <w:t>.</w:t>
      </w:r>
    </w:p>
    <w:p>
      <w:pPr>
        <w:pStyle w:val="Bibliography"/>
      </w:pPr>
      <w:r>
        <w:t xml:space="preserve">• Correll CU, Agid O, Crespo-Facorro B, et al. A Guideline and Checklist for Initiating and Managing Clozapine Treatment in Patients with Treatment-Resistant Schizophrenia. </w:t>
      </w:r>
      <w:r>
        <w:rPr>
          <w:i/>
        </w:rPr>
        <w:t>CNS Drugs</w:t>
      </w:r>
      <w:r>
        <w:t xml:space="preserve">. 2022;36:659-679. </w:t>
      </w:r>
      <w:hyperlink r:id="rId63">
        <w:r>
          <w:rPr>
            <w:color w:val="246B8E"/>
            <w:u w:val="single"/>
          </w:rPr>
          <w:t>Texto completo</w:t>
        </w:r>
      </w:hyperlink>
      <w:r>
        <w:t>.</w:t>
      </w:r>
    </w:p>
    <w:p>
      <w:pPr>
        <w:pStyle w:val="Bibliography"/>
      </w:pPr>
      <w:r>
        <w:t xml:space="preserve">• Keepers GA, Fochtmann LJ, Anzia JM, et al. The American Psychiatric Association Practice Guideline for the Treatment of Patients With Schizophrenia. </w:t>
      </w:r>
      <w:r>
        <w:rPr>
          <w:i/>
        </w:rPr>
        <w:t>Am J Psychiatry</w:t>
      </w:r>
      <w:r>
        <w:t xml:space="preserve">. 2020;177(9):868-872. </w:t>
      </w:r>
      <w:hyperlink r:id="rId58">
        <w:r>
          <w:rPr>
            <w:color w:val="246B8E"/>
            <w:u w:val="single"/>
          </w:rPr>
          <w:t>Guía</w:t>
        </w:r>
      </w:hyperlink>
      <w:r>
        <w:t>.</w:t>
      </w:r>
    </w:p>
    <w:p>
      <w:pPr>
        <w:pStyle w:val="Bibliography"/>
      </w:pPr>
      <w:r>
        <w:t xml:space="preserve">• Medicines and Healthcare products Regulatory Agency. </w:t>
      </w:r>
      <w:r>
        <w:rPr>
          <w:i/>
        </w:rPr>
        <w:t>Clozapine: reminder of potentially fatal risk of intestinal obstruction, faecal impaction, and paralytic ileus</w:t>
      </w:r>
      <w:r>
        <w:t xml:space="preserve">. 2017. </w:t>
      </w:r>
      <w:hyperlink r:id="rId64">
        <w:r>
          <w:rPr>
            <w:color w:val="246B8E"/>
            <w:u w:val="single"/>
          </w:rPr>
          <w:t>Alerta oficial</w:t>
        </w:r>
      </w:hyperlink>
      <w:r>
        <w:t>.</w:t>
      </w:r>
    </w:p>
    <w:p>
      <w:pPr>
        <w:pStyle w:val="Bibliography"/>
      </w:pPr>
      <w:r>
        <w:t xml:space="preserve">• Ministerio de Salud de Chile. </w:t>
      </w:r>
      <w:r>
        <w:rPr>
          <w:i/>
        </w:rPr>
        <w:t>Norma Técnica para el Uso de Clozapina</w:t>
      </w:r>
      <w:r>
        <w:t xml:space="preserve"> (2018), modificada por Resolución Exenta N.º 663 de 2022. </w:t>
      </w:r>
      <w:hyperlink r:id="rId65">
        <w:r>
          <w:rPr>
            <w:color w:val="246B8E"/>
            <w:u w:val="single"/>
          </w:rPr>
          <w:t>Repositorio oficial</w:t>
        </w:r>
      </w:hyperlink>
      <w:r>
        <w:t>.</w:t>
      </w:r>
    </w:p>
    <w:p>
      <w:pPr>
        <w:pStyle w:val="Bibliography"/>
      </w:pPr>
      <w:r>
        <w:t xml:space="preserve">• Ministerio de Salud de Chile. </w:t>
      </w:r>
      <w:r>
        <w:rPr>
          <w:i/>
        </w:rPr>
        <w:t>GES 15: Esquizofrenia. Listado específico de prestaciones</w:t>
      </w:r>
      <w:r>
        <w:t xml:space="preserve">. </w:t>
      </w:r>
      <w:hyperlink r:id="rId66">
        <w:r>
          <w:rPr>
            <w:color w:val="246B8E"/>
            <w:u w:val="single"/>
          </w:rPr>
          <w:t>Canasta oficial</w:t>
        </w:r>
      </w:hyperlink>
      <w:r>
        <w:t>.</w:t>
      </w:r>
    </w:p>
    <w:p>
      <w:r>
        <w:br w:type="page"/>
      </w:r>
    </w:p>
    <w:p>
      <w:pPr>
        <w:spacing w:after="480"/>
      </w:pPr>
      <w:r>
        <w:rPr>
          <w:rFonts w:ascii="Calibri" w:hAnsi="Calibri"/>
          <w:b/>
          <w:color w:val="2A8C82"/>
          <w:sz w:val="20"/>
        </w:rPr>
        <w:t>CAPÍTULO 25 · MATERIAL PARA ESTUDIANTES</w:t>
      </w:r>
    </w:p>
    <w:tbl>
      <w:tblPr>
        <w:tblW w:type="auto" w:w="0"/>
        <w:jc w:val="left"/>
        <w:tblLayout w:type="fixed"/>
        <w:tblLook w:firstColumn="1" w:firstRow="1" w:lastColumn="0" w:lastRow="0" w:noHBand="0" w:noVBand="1" w:val="04A0"/>
      </w:tblPr>
      <w:tblGrid>
        <w:gridCol w:w="9648"/>
      </w:tblGrid>
      <w:tr>
        <w:trPr>
          <w:tblHeader w:val="true"/>
        </w:trPr>
        <w:tc>
          <w:tcPr>
            <w:tcW w:type="dxa" w:w="9072"/>
            <w:shd w:fill="173A5E"/>
            <w:tcMar>
              <w:top w:w="120" w:type="dxa"/>
              <w:start w:w="220" w:type="dxa"/>
              <w:bottom w:w="120" w:type="dxa"/>
              <w:end w:w="220" w:type="dxa"/>
            </w:tcMar>
          </w:tcPr>
          <w:p>
            <w:pPr>
              <w:spacing w:after="0"/>
            </w:pPr>
            <w:r>
              <w:rPr>
                <w:rFonts w:ascii="Calibri" w:hAnsi="Calibri"/>
                <w:b/>
                <w:color w:val="FFFFFF"/>
                <w:sz w:val="19"/>
              </w:rPr>
              <w:t>MÓDULO II · PATOLOGÍAS, GES Y TRATAMIENTOS</w:t>
            </w:r>
          </w:p>
        </w:tc>
      </w:tr>
    </w:tbl>
    <w:p>
      <w:pPr>
        <w:pStyle w:val="Title"/>
        <w:spacing w:before="520" w:after="360"/>
        <w:outlineLvl w:val="0"/>
      </w:pPr>
      <w:bookmarkStart w:id="1025" w:name="chapter_25"/>
      <w:r>
        <w:t>Recuperación en psicosis: recaídas, rehabilitación y continuidad de cuidados</w:t>
      </w:r>
      <w:bookmarkEnd w:id="1025"/>
    </w:p>
    <w:p>
      <w:pPr>
        <w:spacing w:after="80"/>
      </w:pPr>
      <w:r>
        <w:rPr>
          <w:rFonts w:ascii="Calibri" w:hAnsi="Calibri"/>
          <w:b/>
          <w:color w:val="246B8E"/>
          <w:sz w:val="26"/>
        </w:rPr>
        <w:t>Programa de Psiquiatría para internos de Medicina</w:t>
      </w:r>
    </w:p>
    <w:p>
      <w:r>
        <w:rPr>
          <w:rFonts w:ascii="Calibri" w:hAnsi="Calibri"/>
          <w:color w:val="6B7280"/>
          <w:sz w:val="22"/>
        </w:rPr>
        <w:t>Lectura complementaria · Chile · Versión final para revisión humana · 2026</w:t>
      </w:r>
    </w:p>
    <w:p/>
    <w:p/>
    <w:p/>
    <w:p/>
    <w:p/>
    <w:tbl>
      <w:tblPr>
        <w:tblW w:type="auto" w:w="0"/>
        <w:jc w:val="left"/>
        <w:tblLayout w:type="fixed"/>
        <w:tblLook w:firstColumn="1" w:firstRow="1" w:lastColumn="0" w:lastRow="0" w:noHBand="0" w:noVBand="1" w:val="04A0"/>
      </w:tblPr>
      <w:tblGrid>
        <w:gridCol w:w="9648"/>
      </w:tblGrid>
      <w:tr>
        <w:trPr>
          <w:tblHeader w:val="true"/>
        </w:trPr>
        <w:tc>
          <w:tcPr>
            <w:tcW w:type="dxa" w:w="9648"/>
            <w:shd w:fill="F3F5F6"/>
            <w:tcBorders>
              <w:start w:val="single" w:sz="18" w:color="2A8C82"/>
            </w:tcBorders>
            <w:tcMar>
              <w:top w:w="160" w:type="dxa"/>
              <w:start w:w="220" w:type="dxa"/>
              <w:bottom w:w="160" w:type="dxa"/>
              <w:end w:w="220" w:type="dxa"/>
            </w:tcMar>
          </w:tcPr>
          <w:p>
            <w:pPr>
              <w:spacing w:after="0"/>
            </w:pPr>
            <w:r>
              <w:rPr>
                <w:rFonts w:ascii="Calibri" w:hAnsi="Calibri"/>
                <w:i/>
                <w:color w:val="6B7280"/>
                <w:sz w:val="18"/>
              </w:rPr>
              <w:t>Versión docente final para revisión humana. Material propuesto y contextualizado a Chile; no corresponde a un programa oficial de la Pontificia Universidad Católica de Chile ni sustituye protocolos locales, supervisión clínica o evaluación especializada. Fuentes revisadas al 15 de agosto de 2026.</w:t>
            </w:r>
          </w:p>
        </w:tc>
      </w:tr>
    </w:tbl>
    <w:p>
      <w:r>
        <w:br w:type="page"/>
      </w:r>
    </w:p>
    <w:tbl>
      <w:tblPr>
        <w:tblW w:type="auto" w:w="0"/>
        <w:jc w:val="center"/>
        <w:tblLayout w:type="autofit"/>
        <w:tblLook w:firstColumn="1" w:firstRow="1" w:lastColumn="0" w:lastRow="0" w:noHBand="0" w:noVBand="1" w:val="04A0"/>
      </w:tblPr>
      <w:tblGrid>
        <w:gridCol w:w="9648"/>
      </w:tblGrid>
      <w:tr>
        <w:trPr>
          <w:tblHeader w:val="true"/>
        </w:trPr>
        <w:tc>
          <w:tcPr>
            <w:tcW w:type="dxa" w:w="9648"/>
            <w:vAlign w:val="center"/>
            <w:shd w:fill="EAF3F7"/>
            <w:tcBorders>
              <w:start w:val="single" w:sz="14" w:color="2A8C82"/>
            </w:tcBorders>
            <w:tcMar>
              <w:top w:w="130" w:type="dxa"/>
              <w:start w:w="190" w:type="dxa"/>
              <w:bottom w:w="130" w:type="dxa"/>
              <w:end w:w="190" w:type="dxa"/>
            </w:tcMar>
          </w:tcPr>
          <w:p>
            <w:pPr>
              <w:spacing w:after="0"/>
            </w:pPr>
            <w:r>
              <w:rPr>
                <w:b/>
                <w:color w:val="173A5E"/>
              </w:rPr>
              <w:t xml:space="preserve">PREGUNTA CLÍNICA  </w:t>
            </w:r>
            <w:r>
              <w:t>¿Cómo pasar del control de delirios y alucinaciones a una recuperación personal, funcional y comunitaria que pueda sostenerse en el tiempo?</w:t>
            </w:r>
          </w:p>
        </w:tc>
      </w:tr>
    </w:tbl>
    <w:p>
      <w:pPr>
        <w:spacing w:after="0"/>
      </w:pPr>
    </w:p>
    <w:tbl>
      <w:tblPr>
        <w:tblW w:type="auto" w:w="0"/>
        <w:jc w:val="center"/>
        <w:tblLayout w:type="autofit"/>
        <w:tblLook w:firstColumn="1" w:firstRow="1" w:lastColumn="0" w:lastRow="0" w:noHBand="0" w:noVBand="1" w:val="04A0"/>
      </w:tblPr>
      <w:tblGrid>
        <w:gridCol w:w="9648"/>
      </w:tblGrid>
      <w:tr>
        <w:trPr>
          <w:tblHeader w:val="true"/>
        </w:trPr>
        <w:tc>
          <w:tcPr>
            <w:tcW w:type="dxa" w:w="9648"/>
            <w:vAlign w:val="center"/>
            <w:shd w:fill="EAF6F3"/>
            <w:tcBorders>
              <w:start w:val="single" w:sz="14" w:color="2A8C82"/>
            </w:tcBorders>
            <w:tcMar>
              <w:top w:w="130" w:type="dxa"/>
              <w:start w:w="190" w:type="dxa"/>
              <w:bottom w:w="130" w:type="dxa"/>
              <w:end w:w="190" w:type="dxa"/>
            </w:tcMar>
          </w:tcPr>
          <w:p>
            <w:pPr>
              <w:spacing w:after="0"/>
            </w:pPr>
            <w:r>
              <w:rPr>
                <w:b/>
                <w:color w:val="173A5E"/>
              </w:rPr>
              <w:t xml:space="preserve">IDEA CENTRAL  </w:t>
            </w:r>
            <w:r>
              <w:t>remisión clínica y recuperación no son sinónimos. El tratamiento queda incompleto si reduce la psicosis, pero deja a la persona sedada, aislada, enferma físicamente y fuera de su propio proyecto de vida.</w:t>
            </w:r>
          </w:p>
        </w:tc>
      </w:tr>
    </w:tbl>
    <w:p>
      <w:pPr>
        <w:spacing w:after="0"/>
      </w:pPr>
    </w:p>
    <w:p>
      <w:pPr>
        <w:pStyle w:val="Heading1"/>
      </w:pPr>
      <w:r>
        <w:t>Por qué importa</w:t>
      </w:r>
    </w:p>
    <w:p>
      <w:r>
        <w:t>Una ficha puede decir “esquizofrenia compensada” mientras la persona duerme gran parte del día, abandonó sus estudios, aumentó de peso y perdió vínculos. Esa discordancia no es un detalle social posterior al tratamiento: es uno de sus resultados principales. La recuperación incluye síntomas, funcionamiento, salud física, autonomía, identidad y esperanza.</w:t>
      </w:r>
    </w:p>
    <w:p>
      <w:r>
        <w:t>La recaída tampoco comienza el día en que reaparece una psicosis florida. Suele estar precedida por cambios individuales en sueño, consumo, controles, suspicacia o actividades. Reconocer esas señales y saber quién responderá permite intervenir antes. Un plan que depende de que “la familia consulte si empeora” sin definir qué observar ni dónde acudir es apenas un deseo bien redactado.</w:t>
      </w:r>
    </w:p>
    <w:p>
      <w:pPr>
        <w:pStyle w:val="Heading1"/>
      </w:pPr>
      <w:r>
        <w:t>Objetivos de aprendizaje</w:t>
      </w:r>
    </w:p>
    <w:p>
      <w:pPr>
        <w:pStyle w:val="ListBullet"/>
      </w:pPr>
      <w:r>
        <w:t>Distinguir recuperación clínica, funcional y personal.</w:t>
      </w:r>
    </w:p>
    <w:p>
      <w:pPr>
        <w:pStyle w:val="ListBullet"/>
      </w:pPr>
      <w:r>
        <w:t>Reconocer factores modificables y señales tempranas de recaída.</w:t>
      </w:r>
    </w:p>
    <w:p>
      <w:pPr>
        <w:pStyle w:val="ListBullet"/>
      </w:pPr>
      <w:r>
        <w:t>Explorar continuidad farmacológica sin moralizar la discontinuación.</w:t>
      </w:r>
    </w:p>
    <w:p>
      <w:pPr>
        <w:pStyle w:val="ListBullet"/>
      </w:pPr>
      <w:r>
        <w:t>Explicar las principales intervenciones psicosociales con evidencia.</w:t>
      </w:r>
    </w:p>
    <w:p>
      <w:pPr>
        <w:pStyle w:val="ListBullet"/>
      </w:pPr>
      <w:r>
        <w:t>Integrar prevención cardiovascular y atención de salud física.</w:t>
      </w:r>
    </w:p>
    <w:p>
      <w:pPr>
        <w:pStyle w:val="ListBullet"/>
      </w:pPr>
      <w:r>
        <w:t>Trabajar con familia y red respetando autonomía y confidencialidad.</w:t>
      </w:r>
    </w:p>
    <w:p>
      <w:pPr>
        <w:pStyle w:val="ListBullet"/>
      </w:pPr>
      <w:r>
        <w:t>Elaborar una transición o contrarreferencia con responsables y plazos claros.</w:t>
      </w:r>
    </w:p>
    <w:p>
      <w:pPr>
        <w:pStyle w:val="Heading1"/>
      </w:pPr>
      <w:r>
        <w:t>Caso clínico</w:t>
      </w:r>
    </w:p>
    <w:p>
      <w:pPr>
        <w:shd w:fill="EAF3F7"/>
        <w:keepLines/>
        <w:pBdr>
          <w:left w:val="single" w:sz="8" w:space="8" w:color="246B8E"/>
        </w:pBdr>
        <w:ind w:left="173" w:right="86"/>
      </w:pPr>
      <w:r>
        <w:t>Carolina, de 32 años, no presenta delirios activos después de un año de tratamiento. Sin embargo, duerme hasta mediodía, aumentó 18 kilos, fuma, abandonó la universidad y casi no sale de casa. Refiere embotamiento y temor a volver a enfermar si cambia cualquier aspecto del tratamiento. Su equipo registra “esquizofrenia compensada”. Ella responde: “Si esto es estar bien, no me sirve”. El siguiente paso no es convencerla de agradecer la remisión, sino revisar sedación y metabolismo, diferenciar síntomas negativos de depresión o efectos adversos y acordar una meta funcional que le importe.</w:t>
      </w:r>
    </w:p>
    <w:p>
      <w:pPr>
        <w:pStyle w:val="Heading1"/>
      </w:pPr>
      <w:r>
        <w:t>Tres dimensiones de recuperación</w:t>
      </w:r>
    </w:p>
    <w:p>
      <w:r>
        <w:t xml:space="preserve">La </w:t>
      </w:r>
      <w:r>
        <w:rPr>
          <w:b/>
        </w:rPr>
        <w:t>recuperación clínica</w:t>
      </w:r>
      <w:r>
        <w:t xml:space="preserve"> se refiere a reducción o remisión de síntomas y prevención de recaídas. La </w:t>
      </w:r>
      <w:r>
        <w:rPr>
          <w:b/>
        </w:rPr>
        <w:t>recuperación funcional</w:t>
      </w:r>
      <w:r>
        <w:t xml:space="preserve"> considera estudio, trabajo, autocuidado, relaciones y participación. La </w:t>
      </w:r>
      <w:r>
        <w:rPr>
          <w:b/>
        </w:rPr>
        <w:t>recuperación personal</w:t>
      </w:r>
      <w:r>
        <w:t xml:space="preserve"> alude a agencia, identidad, esperanza y construcción de una vida significativa, incluso cuando persisten síntomas. Las tres dimensiones pueden avanzar a ritmos distintos.</w:t>
      </w:r>
    </w:p>
    <w:p>
      <w:r>
        <w:t>Los objetivos no se imponen desde fuera. Para una persona puede ser prioritario volver a estudiar; para otra, vivir de modo más independiente, cuidar a un hijo o reducir el sufrimiento causado por voces. El equipo aporta información y opciones, pero no define unilateralmente qué vida merece recuperarse.</w:t>
      </w:r>
    </w:p>
    <w:p>
      <w:r>
        <w:t>“Funcionamiento” tampoco significa ajustarse a una productividad estándar. Se consideran preferencias, contexto, discapacidad, oportunidades y apoyos. La pobreza, la falta de vivienda, el estigma laboral y las barreras de transporte limitan resultados y requieren respuestas sociales, no atribuciones automáticas a síntomas negativos.</w:t>
      </w:r>
    </w:p>
    <w:p>
      <w:r>
        <w:t>La esperanza clínica debe ser honesta. No se prometen ausencia de recaídas ni recuperación completa, pero tampoco se presenta deterioro inevitable. Una formulación útil identifica capacidades, obstáculos modificables y apoyos, además de síntomas.</w:t>
      </w:r>
    </w:p>
    <w:p>
      <w:pPr>
        <w:pStyle w:val="Heading1"/>
      </w:pPr>
      <w:r>
        <w:t>Comprender y anticipar la recaída</w:t>
      </w:r>
    </w:p>
    <w:p>
      <w:r>
        <w:t>Factores frecuentes incluyen discontinuación no planificada, consumo, privación de sueño, estrés, conflicto, dosis insuficiente, efectos adversos y pérdida de controles. Ninguno actúa igual en todas las personas. Se reconstruyen episodios previos para identificar una firma individual: insomnio, aislamiento, suspicacia, voces más intrusivas, abandono del aseo, gasto, irritabilidad o deterioro laboral.</w:t>
      </w:r>
    </w:p>
    <w:p>
      <w:r>
        <w:t>Debe distinguirse un síntoma residual estable de un cambio respecto del basal. Oír una voz ocasional durante meses no necesariamente anuncia recaída; el aumento de frecuencia, convicción, malestar o conducta asociada puede hacerlo. La familia puede detectar cambios, pero sus observaciones se contrastan y no sustituyen la experiencia de la persona.</w:t>
      </w:r>
    </w:p>
    <w:p>
      <w:r>
        <w:t>Un plan de crisis escrito especifica señales, acciones graduadas, contactos, preferencias, medicamentos vigentes y situaciones que requieren urgencia. También puede registrar qué intervenciones fueron útiles o traumáticas en episodios anteriores. Se revisa cuando la persona está estable y se entrega a quienes participan con su autorización.</w:t>
      </w:r>
    </w:p>
    <w:p>
      <w:r>
        <w:t>Después de un episodio, la reducción o suspensión farmacológica debe ser gradual, individualizada y supervisada. La decisión considera número y gravedad de episodios, recuperación, riesgo, efectos adversos, diagnóstico aún provisional y preferencias. No existe una frase universal —“un año para todos” o “de por vida para todos”— que reemplace esa deliberación. La suspensión brusca aumenta la probabilidad de descompensación y dificulta distinguir rebote de curso natural; si se reduce, se intensifican seguimiento y plan de señales tempranas.</w:t>
      </w:r>
    </w:p>
    <w:p>
      <w:pPr>
        <w:pStyle w:val="Heading1"/>
      </w:pPr>
      <w:r>
        <w:t>Continuidad farmacológica sin moralismo</w:t>
      </w:r>
    </w:p>
    <w:p>
      <w:r>
        <w:t>En vez de preguntar “¿es adherente?”, se pregunta cuántas dosis omitió, qué siente al tomarlas y qué obstáculos encuentra. Motivos frecuentes son acatisia, sedación, aumento de peso, disfunción sexual, falta de beneficio percibido, costos, horarios, olvidos, estigma, desacuerdo diagnóstico y experiencias coercitivas. Llamar “falta de insight” a todo rechazo evita escuchar información farmacológica bastante obvia.</w:t>
      </w:r>
    </w:p>
    <w:p>
      <w:r>
        <w:t>Las respuestas incluyen simplificar el régimen, tratar efectos, ajustar horarios, cambiar de perfil, usar recordatorios o apoyos y ofrecer un inyectable prolongado si la persona lo prefiere o existe discontinuidad recurrente. La formulación prolongada no resuelve desacuerdo ni reemplaza controles. La decisión compartida mejora calidad y continuidad, pero no elimina conflictos; permite abordarlos dentro de la relación.</w:t>
      </w:r>
    </w:p>
    <w:p>
      <w:r>
        <w:t>Si persisten síntomas, se revisan diagnóstico, exposición, sustancias, salud médica y entorno antes de escalar. En aparente “apatía” se diferencian depresión, parkinsonismo, sedación, trastorno del sueño y falta de oportunidades. Mantener sedación incapacitante para reducir cualquier posibilidad de recaída puede preservar una estadística y destruir una vida.</w:t>
      </w:r>
    </w:p>
    <w:p>
      <w:pPr>
        <w:pStyle w:val="Heading1"/>
      </w:pPr>
      <w:r>
        <w:t>Intervenciones psicosociales con evidencia</w:t>
      </w:r>
    </w:p>
    <w:p>
      <w:r>
        <w:t>La intervención familiar combina psicoeducación, comunicación, resolución de problemas y planificación de crisis. Puede reducir recaídas en familias con contacto cercano. El concepto de emoción expresada describe patrones de crítica, hostilidad o sobreinvolucramiento asociados a recaída en grupos; no es una etiqueta para culpar a la familia. El trabajo debe reconocer carga del cuidado y ofrecer apoyo.</w:t>
      </w:r>
    </w:p>
    <w:p>
      <w:r>
        <w:t>La terapia cognitivo-conductual para psicosis busca disminuir sufrimiento, ampliar interpretaciones, mejorar afrontamiento y avanzar hacia metas. No consiste en humillar a la persona hasta que admita que su experiencia es falsa. Puede ser útil con síntomas persistentes y durante recuperación.</w:t>
      </w:r>
    </w:p>
    <w:p>
      <w:r>
        <w:t>La rehabilitación cognitiva entrena procesos como atención y memoria, idealmente vinculada a objetivos funcionales. Empleo con apoyo —en especial modelos de colocación temprana y soporte continuo— evita años de preparación que nunca conducen a trabajo real. El mismo principio puede adaptarse a educación con apoyo. Terapia ocupacional y entrenamiento de habilidades se seleccionan según necesidades, no como destino permanente.</w:t>
      </w:r>
    </w:p>
    <w:p>
      <w:r>
        <w:t>El tratamiento integrado de psicosis y consumo es preferible a exigir abstinencia antes de permitir acceso a salud mental. Equipos comunitarios intensivos, gestión de casos, apoyo de pares y visitas domiciliarias pueden sostener a personas con alta complejidad. Vivienda y protección social son intervenciones de salud cuando determinan seguridad y continuidad.</w:t>
      </w:r>
    </w:p>
    <w:p>
      <w:r>
        <w:t>No todas estas prestaciones están disponibles en cada territorio chileno. El clínico debe mapear recursos reales —atención primaria, COSAM, especialidad hospitalaria, hospital de día, rehabilitación, dispositivos residenciales y programas sociales— y no prometer una red ideal inexistente.</w:t>
      </w:r>
    </w:p>
    <w:p>
      <w:pPr>
        <w:pStyle w:val="Heading1"/>
      </w:pPr>
      <w:r>
        <w:t>Salud física como resultado psiquiátrico</w:t>
      </w:r>
    </w:p>
    <w:p>
      <w:r>
        <w:t>Las personas con psicosis presentan mayor mortalidad prematura por causas cardiovasculares, respiratorias y cáncer, influida por tabaco, metabolismo, pobreza y barreras de atención. Peso, cintura, presión, glicemia o HbA1c, lípidos, actividad, sueño y consumo deben tener calendario y responsable. El aumento inducido por tratamiento no se explica como falta de voluntad.</w:t>
      </w:r>
    </w:p>
    <w:p>
      <w:r>
        <w:t>Se ofrecen apoyo para cesación tabáquica, alimentación factible, actividad adaptada y revisión farmacológica. También se abordan salud sexual y reproductiva, odontología, vacunación y tamizajes preventivos según edad y sexo. Un síntoma físico no debe descartarse porque la persona tenga esquizofrenia; ese sesgo, conocido como eclipsamiento diagnóstico, retrasa atención médica.</w:t>
      </w:r>
    </w:p>
    <w:p>
      <w:r>
        <w:t>La coordinación con atención primaria requiere transferencia explícita. “Control metabólico en APS” sólo sirve si se ha comunicado qué controlar, cuándo y quién revisará. La especialidad mantiene responsabilidad durante las transiciones hasta confirmar que el siguiente equipo recibió el caso.</w:t>
      </w:r>
    </w:p>
    <w:p>
      <w:pPr>
        <w:pStyle w:val="Heading1"/>
      </w:pPr>
      <w:r>
        <w:t>Familia, autonomía y continuidad en la red</w:t>
      </w:r>
    </w:p>
    <w:p>
      <w:r>
        <w:t>Con consentimiento, la familia puede aprender señales tempranas, apoyar tratamientos y participar en el plan de crisis. Recibir información familiar no habilita a revelar la ficha. El apoyo tampoco debe transformarse en vigilancia permanente, control del dinero o coerción cotidiana sin evaluación de necesidad y proporcionalidad.</w:t>
      </w:r>
    </w:p>
    <w:p>
      <w:r>
        <w:t>Capacidad se evalúa por decisión y puede fluctuar. Una historia de psicosis no elimina el derecho a participar en fármacos, vivienda, reproducción o trabajo. Cuando existen restricciones, se aplican conforme a la legislación chilena, con la alternativa menos restrictiva y revisión.</w:t>
      </w:r>
    </w:p>
    <w:p>
      <w:r>
        <w:t>Una contrarreferencia útil incluye diagnóstico y grado de certeza; síntomas residuales; riesgos; funcionamiento; fármaco, formulación, última y próxima dosis; respuesta y efectos; monitorización pendiente; consumo; red y situación GES. Añade objetivos personales, señales de recaída, responsable de cada acción y fecha de control. El alta ocurre cuando alguien concreto asume el siguiente paso, no cuando se envía un documento al vacío.</w:t>
      </w:r>
    </w:p>
    <w:p>
      <w:r>
        <w:t>Para Carolina, el plan debe revisar sedación y metabolismo, abordar tabaco, explorar depresión y acordar una meta educativa gradual. “Sin delirios” es una buena noticia, no el final del tratamiento.</w:t>
      </w:r>
    </w:p>
    <w:p>
      <w:pPr>
        <w:pStyle w:val="Heading1"/>
      </w:pPr>
      <w:r>
        <w:t>Errores frecuentes</w:t>
      </w:r>
    </w:p>
    <w:p>
      <w:pPr>
        <w:pStyle w:val="ListBullet"/>
      </w:pPr>
      <w:r>
        <w:t>Llamar recuperada a una persona sólo porque no presenta delirios activos.</w:t>
      </w:r>
    </w:p>
    <w:p>
      <w:pPr>
        <w:pStyle w:val="ListBullet"/>
      </w:pPr>
      <w:r>
        <w:t>Interpretar discontinuación como defecto moral sin explorar efectos y barreras.</w:t>
      </w:r>
    </w:p>
    <w:p>
      <w:pPr>
        <w:pStyle w:val="ListBullet"/>
      </w:pPr>
      <w:r>
        <w:t>Usar a la familia como sistema de vigilancia sin consentimiento.</w:t>
      </w:r>
    </w:p>
    <w:p>
      <w:pPr>
        <w:pStyle w:val="ListBullet"/>
      </w:pPr>
      <w:r>
        <w:t>Posponer estudio o trabajo hasta una remisión perfecta.</w:t>
      </w:r>
    </w:p>
    <w:p>
      <w:pPr>
        <w:pStyle w:val="ListBullet"/>
      </w:pPr>
      <w:r>
        <w:t>Dejar salud física fuera del plan psiquiátrico.</w:t>
      </w:r>
    </w:p>
    <w:p>
      <w:pPr>
        <w:pStyle w:val="ListBullet"/>
      </w:pPr>
      <w:r>
        <w:t>Confundir síntomas negativos con sedación, depresión o falta de oportunidades.</w:t>
      </w:r>
    </w:p>
    <w:p>
      <w:pPr>
        <w:pStyle w:val="ListBullet"/>
      </w:pPr>
      <w:r>
        <w:t>Dar alta sin próxima dosis, responsable, fecha y señales de crisis.</w:t>
      </w:r>
    </w:p>
    <w:p>
      <w:pPr>
        <w:pStyle w:val="Heading1"/>
      </w:pPr>
      <w:r>
        <w:t>Para recordar</w:t>
      </w:r>
    </w:p>
    <w:p>
      <w:pPr>
        <w:spacing w:after="60" w:line="288" w:lineRule="auto"/>
        <w:ind w:left="432" w:hanging="216"/>
        <w:shd w:fill="EAF6F3"/>
        <w:keepNext/>
        <w:keepLines/>
        <w:pBdr>
          <w:left w:val="single" w:sz="8" w:space="8" w:color="2A8C82"/>
        </w:pBdr>
      </w:pPr>
      <w:r>
        <w:t>1. La persona participa en definir qué vida quiere recuperar.</w:t>
      </w:r>
    </w:p>
    <w:p>
      <w:pPr>
        <w:spacing w:after="60" w:line="288" w:lineRule="auto"/>
        <w:ind w:left="432" w:hanging="216"/>
        <w:shd w:fill="EAF6F3"/>
        <w:keepNext/>
        <w:keepLines/>
        <w:pBdr>
          <w:left w:val="single" w:sz="8" w:space="8" w:color="2A8C82"/>
        </w:pBdr>
      </w:pPr>
      <w:r>
        <w:t>2. La recaída suele anunciarse mediante cambios individuales antes de hacerse evidente.</w:t>
      </w:r>
    </w:p>
    <w:p>
      <w:pPr>
        <w:spacing w:after="60" w:line="288" w:lineRule="auto"/>
        <w:ind w:left="432" w:hanging="216"/>
        <w:shd w:fill="EAF6F3"/>
        <w:keepNext/>
        <w:keepLines/>
        <w:pBdr>
          <w:left w:val="single" w:sz="8" w:space="8" w:color="2A8C82"/>
        </w:pBdr>
      </w:pPr>
      <w:r>
        <w:t>3. Las intervenciones psicosociales son tratamientos, no adornos del antipsicótico.</w:t>
      </w:r>
    </w:p>
    <w:p>
      <w:pPr>
        <w:spacing w:after="60" w:line="288" w:lineRule="auto"/>
        <w:ind w:left="432" w:hanging="216"/>
        <w:shd w:fill="EAF6F3"/>
        <w:keepNext/>
        <w:keepLines/>
        <w:pBdr>
          <w:left w:val="single" w:sz="8" w:space="8" w:color="2A8C82"/>
        </w:pBdr>
      </w:pPr>
      <w:r>
        <w:t>4. La prevención cardiovascular y el acceso a medicina forman parte de la atención de psicosis.</w:t>
      </w:r>
    </w:p>
    <w:p>
      <w:pPr>
        <w:spacing w:after="60" w:line="288" w:lineRule="auto"/>
        <w:ind w:left="432" w:hanging="216"/>
        <w:shd w:fill="EAF6F3"/>
        <w:keepLines/>
        <w:pBdr>
          <w:left w:val="single" w:sz="8" w:space="8" w:color="2A8C82"/>
        </w:pBdr>
      </w:pPr>
      <w:r>
        <w:t>5. Continuidad significa que alguien concreto asume y confirma el siguiente paso.</w:t>
      </w:r>
    </w:p>
    <w:p>
      <w:pPr>
        <w:pStyle w:val="Heading1"/>
      </w:pPr>
      <w:r>
        <w:t>Bibliografía esencial</w:t>
      </w:r>
    </w:p>
    <w:p>
      <w:pPr>
        <w:pStyle w:val="Bibliography"/>
      </w:pPr>
      <w:r>
        <w:t xml:space="preserve">• Keepers GA, Fochtmann LJ, Anzia JM, et al. The American Psychiatric Association Practice Guideline for the Treatment of Patients With Schizophrenia. </w:t>
      </w:r>
      <w:r>
        <w:rPr>
          <w:i/>
        </w:rPr>
        <w:t>Am J Psychiatry</w:t>
      </w:r>
      <w:r>
        <w:t xml:space="preserve">. 2020;177(9):868-872. </w:t>
      </w:r>
      <w:hyperlink r:id="rId58">
        <w:r>
          <w:rPr>
            <w:color w:val="246B8E"/>
            <w:u w:val="single"/>
          </w:rPr>
          <w:t>Guía</w:t>
        </w:r>
      </w:hyperlink>
      <w:r>
        <w:t>.</w:t>
      </w:r>
    </w:p>
    <w:p>
      <w:pPr>
        <w:pStyle w:val="Bibliography"/>
      </w:pPr>
      <w:r>
        <w:t xml:space="preserve">• National Institute for Health and Care Excellence. </w:t>
      </w:r>
      <w:r>
        <w:rPr>
          <w:i/>
        </w:rPr>
        <w:t>Psychosis and schizophrenia in adults: prevention and management</w:t>
      </w:r>
      <w:r>
        <w:t xml:space="preserve">. Clinical guideline CG178. </w:t>
      </w:r>
      <w:hyperlink r:id="rId57">
        <w:r>
          <w:rPr>
            <w:color w:val="246B8E"/>
            <w:u w:val="single"/>
          </w:rPr>
          <w:t>Recomendaciones</w:t>
        </w:r>
      </w:hyperlink>
      <w:r>
        <w:t>.</w:t>
      </w:r>
    </w:p>
    <w:p>
      <w:pPr>
        <w:pStyle w:val="Bibliography"/>
      </w:pPr>
      <w:r>
        <w:t xml:space="preserve">• World Health Organization. </w:t>
      </w:r>
      <w:r>
        <w:rPr>
          <w:i/>
        </w:rPr>
        <w:t>Guidance on Community Mental Health Services: Promoting Person-Centred and Rights-Based Approaches</w:t>
      </w:r>
      <w:r>
        <w:t xml:space="preserve">. 2021. </w:t>
      </w:r>
      <w:hyperlink r:id="rId15">
        <w:r>
          <w:rPr>
            <w:color w:val="246B8E"/>
            <w:u w:val="single"/>
          </w:rPr>
          <w:t>Documento oficial</w:t>
        </w:r>
      </w:hyperlink>
      <w:r>
        <w:t>.</w:t>
      </w:r>
    </w:p>
    <w:p>
      <w:pPr>
        <w:pStyle w:val="Bibliography"/>
      </w:pPr>
      <w:r>
        <w:t xml:space="preserve">• Slade M, Amering M, Farkas M, et al. Uses and abuses of recovery: implementing recovery-oriented practices in mental health systems. </w:t>
      </w:r>
      <w:r>
        <w:rPr>
          <w:i/>
        </w:rPr>
        <w:t>World Psychiatry</w:t>
      </w:r>
      <w:r>
        <w:t xml:space="preserve">. 2014;13(1):12-20. </w:t>
      </w:r>
      <w:hyperlink r:id="rId67">
        <w:r>
          <w:rPr>
            <w:color w:val="246B8E"/>
            <w:u w:val="single"/>
          </w:rPr>
          <w:t>Texto completo</w:t>
        </w:r>
      </w:hyperlink>
      <w:r>
        <w:t>.</w:t>
      </w:r>
    </w:p>
    <w:p>
      <w:pPr>
        <w:pStyle w:val="Bibliography"/>
      </w:pPr>
      <w:r>
        <w:t xml:space="preserve">• Modini M, Tan L, Brinchmann B, et al. Supported employment for people with severe mental illness: systematic review and meta-analysis of the international evidence. </w:t>
      </w:r>
      <w:r>
        <w:rPr>
          <w:i/>
        </w:rPr>
        <w:t>Br J Psychiatry</w:t>
      </w:r>
      <w:r>
        <w:t xml:space="preserve">. 2016;209(1):14-22. </w:t>
      </w:r>
      <w:hyperlink r:id="rId68">
        <w:r>
          <w:rPr>
            <w:color w:val="246B8E"/>
            <w:u w:val="single"/>
          </w:rPr>
          <w:t>Artículo</w:t>
        </w:r>
      </w:hyperlink>
      <w:r>
        <w:t>.</w:t>
      </w:r>
    </w:p>
    <w:p>
      <w:r>
        <w:br w:type="page"/>
      </w:r>
    </w:p>
    <w:p>
      <w:pPr>
        <w:spacing w:after="480"/>
      </w:pPr>
      <w:r>
        <w:rPr>
          <w:rFonts w:ascii="Calibri" w:hAnsi="Calibri"/>
          <w:b/>
          <w:color w:val="2A8C82"/>
          <w:sz w:val="20"/>
        </w:rPr>
        <w:t>CAPÍTULO 26 · MATERIAL PARA ESTUDIANTES</w:t>
      </w:r>
    </w:p>
    <w:tbl>
      <w:tblPr>
        <w:tblW w:type="auto" w:w="0"/>
        <w:jc w:val="left"/>
        <w:tblLayout w:type="fixed"/>
        <w:tblLook w:firstColumn="1" w:firstRow="1" w:lastColumn="0" w:lastRow="0" w:noHBand="0" w:noVBand="1" w:val="04A0"/>
      </w:tblPr>
      <w:tblGrid>
        <w:gridCol w:w="9648"/>
      </w:tblGrid>
      <w:tr>
        <w:trPr>
          <w:tblHeader w:val="true"/>
        </w:trPr>
        <w:tc>
          <w:tcPr>
            <w:tcW w:type="dxa" w:w="9072"/>
            <w:shd w:fill="173A5E"/>
            <w:tcMar>
              <w:top w:w="120" w:type="dxa"/>
              <w:start w:w="220" w:type="dxa"/>
              <w:bottom w:w="120" w:type="dxa"/>
              <w:end w:w="220" w:type="dxa"/>
            </w:tcMar>
          </w:tcPr>
          <w:p>
            <w:pPr>
              <w:spacing w:after="0"/>
            </w:pPr>
            <w:r>
              <w:rPr>
                <w:rFonts w:ascii="Calibri" w:hAnsi="Calibri"/>
                <w:b/>
                <w:color w:val="FFFFFF"/>
                <w:sz w:val="19"/>
              </w:rPr>
              <w:t>MÓDULO II · PATOLOGÍAS, GES Y TRATAMIENTOS</w:t>
            </w:r>
          </w:p>
        </w:tc>
      </w:tr>
    </w:tbl>
    <w:p>
      <w:pPr>
        <w:pStyle w:val="Title"/>
        <w:spacing w:before="520" w:after="360"/>
        <w:outlineLvl w:val="0"/>
      </w:pPr>
      <w:bookmarkStart w:id="1026" w:name="chapter_26"/>
      <w:r>
        <w:t>Trastorno de pánico y agorafobia</w:t>
      </w:r>
      <w:bookmarkEnd w:id="1026"/>
    </w:p>
    <w:p>
      <w:pPr>
        <w:spacing w:after="80"/>
      </w:pPr>
      <w:r>
        <w:rPr>
          <w:rFonts w:ascii="Calibri" w:hAnsi="Calibri"/>
          <w:b/>
          <w:color w:val="246B8E"/>
          <w:sz w:val="26"/>
        </w:rPr>
        <w:t>Programa de Psiquiatría para internos de Medicina</w:t>
      </w:r>
    </w:p>
    <w:p>
      <w:r>
        <w:rPr>
          <w:rFonts w:ascii="Calibri" w:hAnsi="Calibri"/>
          <w:color w:val="6B7280"/>
          <w:sz w:val="22"/>
        </w:rPr>
        <w:t>Lectura complementaria · Chile · Versión final para revisión humana · 2026</w:t>
      </w:r>
    </w:p>
    <w:p/>
    <w:p/>
    <w:p/>
    <w:p/>
    <w:p/>
    <w:tbl>
      <w:tblPr>
        <w:tblW w:type="auto" w:w="0"/>
        <w:jc w:val="left"/>
        <w:tblLayout w:type="fixed"/>
        <w:tblLook w:firstColumn="1" w:firstRow="1" w:lastColumn="0" w:lastRow="0" w:noHBand="0" w:noVBand="1" w:val="04A0"/>
      </w:tblPr>
      <w:tblGrid>
        <w:gridCol w:w="9648"/>
      </w:tblGrid>
      <w:tr>
        <w:trPr>
          <w:tblHeader w:val="true"/>
        </w:trPr>
        <w:tc>
          <w:tcPr>
            <w:tcW w:type="dxa" w:w="9648"/>
            <w:shd w:fill="F3F5F6"/>
            <w:tcBorders>
              <w:start w:val="single" w:sz="18" w:color="2A8C82"/>
            </w:tcBorders>
            <w:tcMar>
              <w:top w:w="160" w:type="dxa"/>
              <w:start w:w="220" w:type="dxa"/>
              <w:bottom w:w="160" w:type="dxa"/>
              <w:end w:w="220" w:type="dxa"/>
            </w:tcMar>
          </w:tcPr>
          <w:p>
            <w:pPr>
              <w:spacing w:after="0"/>
            </w:pPr>
            <w:r>
              <w:rPr>
                <w:rFonts w:ascii="Calibri" w:hAnsi="Calibri"/>
                <w:i/>
                <w:color w:val="6B7280"/>
                <w:sz w:val="18"/>
              </w:rPr>
              <w:t>Versión docente final para revisión humana. Material propuesto y contextualizado a Chile; no corresponde a un programa oficial de la Pontificia Universidad Católica de Chile ni sustituye protocolos locales, supervisión clínica o evaluación especializada. Fuentes revisadas al 15 de agosto de 2026.</w:t>
            </w:r>
          </w:p>
        </w:tc>
      </w:tr>
    </w:tbl>
    <w:p>
      <w:r>
        <w:br w:type="page"/>
      </w:r>
    </w:p>
    <w:tbl>
      <w:tblPr>
        <w:tblW w:type="auto" w:w="0"/>
        <w:jc w:val="center"/>
        <w:tblLayout w:type="autofit"/>
        <w:tblLook w:firstColumn="1" w:firstRow="1" w:lastColumn="0" w:lastRow="0" w:noHBand="0" w:noVBand="1" w:val="04A0"/>
      </w:tblPr>
      <w:tblGrid>
        <w:gridCol w:w="9648"/>
      </w:tblGrid>
      <w:tr>
        <w:trPr>
          <w:tblHeader w:val="true"/>
        </w:trPr>
        <w:tc>
          <w:tcPr>
            <w:tcW w:type="dxa" w:w="9648"/>
            <w:vAlign w:val="center"/>
            <w:shd w:fill="EAF3F7"/>
            <w:tcBorders>
              <w:start w:val="single" w:sz="14" w:color="2A8C82"/>
            </w:tcBorders>
            <w:tcMar>
              <w:top w:w="130" w:type="dxa"/>
              <w:start w:w="190" w:type="dxa"/>
              <w:bottom w:w="130" w:type="dxa"/>
              <w:end w:w="190" w:type="dxa"/>
            </w:tcMar>
          </w:tcPr>
          <w:p>
            <w:pPr>
              <w:spacing w:after="0"/>
            </w:pPr>
            <w:r>
              <w:rPr>
                <w:b/>
                <w:color w:val="173A5E"/>
              </w:rPr>
              <w:t xml:space="preserve">PREGUNTA CLÍNICA  </w:t>
            </w:r>
            <w:r>
              <w:t>¿Cómo distinguir una crisis de pánico de una emergencia médica y evitar que las medidas destinadas a tranquilizar terminen manteniendo el trastorno?</w:t>
            </w:r>
          </w:p>
        </w:tc>
      </w:tr>
    </w:tbl>
    <w:p>
      <w:pPr>
        <w:spacing w:after="0"/>
      </w:pPr>
    </w:p>
    <w:tbl>
      <w:tblPr>
        <w:tblW w:type="auto" w:w="0"/>
        <w:jc w:val="center"/>
        <w:tblLayout w:type="autofit"/>
        <w:tblLook w:firstColumn="1" w:firstRow="1" w:lastColumn="0" w:lastRow="0" w:noHBand="0" w:noVBand="1" w:val="04A0"/>
      </w:tblPr>
      <w:tblGrid>
        <w:gridCol w:w="9648"/>
      </w:tblGrid>
      <w:tr>
        <w:trPr>
          <w:tblHeader w:val="true"/>
        </w:trPr>
        <w:tc>
          <w:tcPr>
            <w:tcW w:type="dxa" w:w="9648"/>
            <w:vAlign w:val="center"/>
            <w:shd w:fill="EAF6F3"/>
            <w:tcBorders>
              <w:start w:val="single" w:sz="14" w:color="2A8C82"/>
            </w:tcBorders>
            <w:tcMar>
              <w:top w:w="130" w:type="dxa"/>
              <w:start w:w="190" w:type="dxa"/>
              <w:bottom w:w="130" w:type="dxa"/>
              <w:end w:w="190" w:type="dxa"/>
            </w:tcMar>
          </w:tcPr>
          <w:p>
            <w:pPr>
              <w:spacing w:after="0"/>
            </w:pPr>
            <w:r>
              <w:rPr>
                <w:b/>
                <w:color w:val="173A5E"/>
              </w:rPr>
              <w:t xml:space="preserve">IDEA CENTRAL  </w:t>
            </w:r>
            <w:r>
              <w:t>Una crisis de pánico es una experiencia intensa y real, pero no es un diagnóstico etiológico. El trastorno de pánico requiere recurrencia inesperada y consecuencias persistentes; la agorafobia se define por temor y evitación situacional. En ambos, las conductas de seguridad pueden aliviar hoy y perpetuar el problema mañana.</w:t>
            </w:r>
          </w:p>
        </w:tc>
      </w:tr>
    </w:tbl>
    <w:p>
      <w:pPr>
        <w:spacing w:after="0"/>
      </w:pPr>
    </w:p>
    <w:p>
      <w:pPr>
        <w:pStyle w:val="Heading1"/>
      </w:pPr>
      <w:r>
        <w:t>Por qué importa</w:t>
      </w:r>
    </w:p>
    <w:p>
      <w:r>
        <w:t>Palpitaciones, disnea, dolor torácico y sensación de muerte pueden corresponder a pánico, arritmia, asma, tromboembolismo, hipoglicemia, intoxicación u otras condiciones. Declarar “es ansiedad” sin evaluación expone a omisiones graves; repetir baterías completas pese a episodios estereotipados y estudios apropiados puede reforzar la creencia de que existe un peligro corporal aún no descubierto.</w:t>
      </w:r>
    </w:p>
    <w:p>
      <w:r>
        <w:t>La buena atención combina seguridad médica, validación y una explicación que facilite tratamiento. “No tiene nada” es falso: la persona tiene síntomas, sufrimiento y pérdida de libertad, aunque no exista la catástrofe que teme.</w:t>
      </w:r>
    </w:p>
    <w:p>
      <w:pPr>
        <w:pStyle w:val="Heading1"/>
      </w:pPr>
      <w:r>
        <w:t>Objetivos de aprendizaje</w:t>
      </w:r>
    </w:p>
    <w:p>
      <w:pPr>
        <w:keepNext/>
      </w:pPr>
      <w:r>
        <w:t>Al finalizar este capítulo, el estudiante podrá:</w:t>
      </w:r>
    </w:p>
    <w:p>
      <w:pPr>
        <w:spacing w:after="60" w:line="288" w:lineRule="auto"/>
        <w:ind w:left="432" w:hanging="216"/>
      </w:pPr>
      <w:r>
        <w:t>1. Reconocer una crisis de pánico y diferenciarla del trastorno de pánico.</w:t>
      </w:r>
    </w:p>
    <w:p>
      <w:pPr>
        <w:spacing w:after="60" w:line="288" w:lineRule="auto"/>
        <w:ind w:left="432" w:hanging="216"/>
      </w:pPr>
      <w:r>
        <w:t>2. Caracterizar agorafobia y distinguirla de evitación inespecífica.</w:t>
      </w:r>
    </w:p>
    <w:p>
      <w:pPr>
        <w:spacing w:after="60" w:line="288" w:lineRule="auto"/>
        <w:ind w:left="432" w:hanging="216"/>
      </w:pPr>
      <w:r>
        <w:t>3. Identificar banderas rojas cardiopulmonares, neurológicas, endocrinas y tóxicas.</w:t>
      </w:r>
    </w:p>
    <w:p>
      <w:pPr>
        <w:spacing w:after="60" w:line="288" w:lineRule="auto"/>
        <w:ind w:left="432" w:hanging="216"/>
      </w:pPr>
      <w:r>
        <w:t>4. Explicar el ciclo de pánico de manera fisiológica y no invalidante.</w:t>
      </w:r>
    </w:p>
    <w:p>
      <w:pPr>
        <w:spacing w:after="60" w:line="288" w:lineRule="auto"/>
        <w:ind w:left="432" w:hanging="216"/>
      </w:pPr>
      <w:r>
        <w:t>5. Comprender los componentes centrales de la terapia cognitivo-conductual.</w:t>
      </w:r>
    </w:p>
    <w:p>
      <w:pPr>
        <w:spacing w:after="60" w:line="288" w:lineRule="auto"/>
        <w:ind w:left="432" w:hanging="216"/>
      </w:pPr>
      <w:r>
        <w:t>6. Seleccionar farmacoterapia de primera línea cuando esté indicada.</w:t>
      </w:r>
    </w:p>
    <w:p>
      <w:pPr>
        <w:spacing w:after="60" w:line="288" w:lineRule="auto"/>
        <w:ind w:left="432" w:hanging="216"/>
      </w:pPr>
      <w:r>
        <w:t>7. Evitar benzodiazepinas crónicas, reaseguro y estudios repetitivos sin nueva hipótesis.</w:t>
      </w:r>
    </w:p>
    <w:p>
      <w:pPr>
        <w:pStyle w:val="Heading1"/>
      </w:pPr>
      <w:r>
        <w:t>Caso clínico</w:t>
      </w:r>
    </w:p>
    <w:p>
      <w:pPr>
        <w:shd w:fill="EAF3F7"/>
        <w:keepNext/>
        <w:keepLines/>
        <w:pBdr>
          <w:left w:val="single" w:sz="8" w:space="8" w:color="246B8E"/>
        </w:pBdr>
        <w:ind w:left="173" w:right="86"/>
      </w:pPr>
      <w:r>
        <w:t>Paula, de 34 años, ha consultado cuatro veces en urgencia por episodios súbitos de palpitaciones, opresión torácica, disnea, mareo, desrealización y temor a morir. Dos evaluaciones cardiológicas fueron normales. Ahora evita Metro, túneles y filas porque teme no poder escapar si reaparecen los síntomas. Toma clonazepam antes de salir, viaja sólo acompañada y revisa un oxímetro cada pocos minutos.</w:t>
      </w:r>
    </w:p>
    <w:p>
      <w:pPr>
        <w:shd w:fill="EAF3F7"/>
        <w:keepLines/>
        <w:pBdr>
          <w:left w:val="single" w:sz="8" w:space="8" w:color="246B8E"/>
        </w:pBdr>
        <w:ind w:left="173" w:right="86"/>
      </w:pPr>
      <w:r>
        <w:t>El caso no se resuelve diciendo que “todo es psicológico”. Requiere comprobar que el patrón actual no contiene nuevas señales médicas, reconocer trastorno de pánico y agorafobia, y mostrar cómo el sedante, el acompañante obligatorio y el oxímetro funcionan como conductas de seguridad.</w:t>
      </w:r>
    </w:p>
    <w:p>
      <w:pPr>
        <w:pStyle w:val="Heading1"/>
      </w:pPr>
      <w:r>
        <w:t>Crisis de pánico, trastorno de pánico y agorafobia</w:t>
      </w:r>
    </w:p>
    <w:p>
      <w:r>
        <w:t xml:space="preserve">Una </w:t>
      </w:r>
      <w:r>
        <w:rPr>
          <w:b/>
        </w:rPr>
        <w:t>crisis de pánico</w:t>
      </w:r>
      <w:r>
        <w:t xml:space="preserve"> es una oleada abrupta de miedo o malestar intenso que alcanza rápidamente un máximo y combina síntomas físicos y cognitivos: palpitaciones, sudoración, temblor, disnea, sensación de ahogo, molestias torácicas, náuseas, mareo, escalofríos o calor, parestesias, desrealización, despersonalización y temor a perder el control o morir. Puede ser esperada ante un estímulo fóbico o inesperada, y aparecer en múltiples trastornos, enfermedades o exposiciones.</w:t>
      </w:r>
    </w:p>
    <w:p>
      <w:r>
        <w:t xml:space="preserve">El </w:t>
      </w:r>
      <w:r>
        <w:rPr>
          <w:b/>
        </w:rPr>
        <w:t>trastorno de pánico</w:t>
      </w:r>
      <w:r>
        <w:t xml:space="preserve"> exige crisis inesperadas recurrentes y, después de al menos una de ellas, un mes o más de preocupación persistente por nuevas crisis o sus consecuencias y/o un cambio conductual desadaptativo. Una crisis aislada durante una intoxicación, un examen oral o un recuerdo traumático no basta. Se deben excluir efectos de sustancias y otras condiciones, y comprobar que otro trastorno no explica mejor los episodios.</w:t>
      </w:r>
    </w:p>
    <w:p>
      <w:r>
        <w:t xml:space="preserve">La </w:t>
      </w:r>
      <w:r>
        <w:rPr>
          <w:b/>
        </w:rPr>
        <w:t>agorafobia</w:t>
      </w:r>
      <w:r>
        <w:t xml:space="preserve"> es temor o ansiedad ante situaciones donde escapar o recibir ayuda se percibe difícil si aparecen síntomas incapacitantes o embarazosos. DSM-5-TR requiere temor en dos o más de cinco grupos situacionales —transporte público, espacios abiertos, lugares cerrados, filas o multitudes y estar fuera de casa a solas—, persistente habitualmente por seis meses o más. La persona evita, soporta con intenso temor o necesita compañía. Puede coexistir con trastorno de pánico, pero también presentarse sin él. CIE-11 formula el cuadro con requisitos propios; por eso conviene declarar la clasificación utilizada. No toda restricción de movilidad es agorafobia: depresión, psicosis, ansiedad social, discapacidad física y riesgo ambiental requieren otra formulación.</w:t>
      </w:r>
    </w:p>
    <w:p>
      <w:pPr>
        <w:pStyle w:val="Heading1"/>
      </w:pPr>
      <w:r>
        <w:t>El ciclo que mantiene el pánico</w:t>
      </w:r>
    </w:p>
    <w:p>
      <w:r>
        <w:t>Una sensación corporal —taquicardia tras subir una escalera— se interpreta como señal de catástrofe: “voy a infartarme”. La atención se estrecha sobre el cuerpo, aumenta la activación autonómica y aparecen más sensaciones, que confirman la predicción. Escapar reduce el miedo y enseña que la salida evitó el desastre. Revisar el pulso, llevar fármacos de rescate, ubicarse junto a la puerta o depender de un acompañante cumplen la misma función.</w:t>
      </w:r>
    </w:p>
    <w:p>
      <w:r>
        <w:t>Estas conductas no son absurdas ni voluntariamente causantes del cuadro; son intentos comprensibles de control. El problema es el aprendizaje: la persona nunca comprueba qué habría ocurrido sin ellas. Respirar de forma lenta puede reducir hiperventilación, pero si se convierte en ritual indispensable también puede mantener la idea “sin controlar cada respiración, colapso”.</w:t>
      </w:r>
    </w:p>
    <w:p>
      <w:r>
        <w:t>La explicación debe vincular síntomas reales con activación autonómica, hiperventilación y percepción de amenaza, sin prometer que todo síntoma futuro será benigno. Se acuerda qué cambios justificarían una nueva evaluación médica.</w:t>
      </w:r>
    </w:p>
    <w:p>
      <w:pPr>
        <w:pStyle w:val="Heading1"/>
      </w:pPr>
      <w:r>
        <w:t>Evaluación médica dirigida</w:t>
      </w:r>
    </w:p>
    <w:p>
      <w:r>
        <w:t>Se reconstruye cada episodio: comienzo, duración, actividad realizada, dolor, síncope, esfuerzo, fiebre, focalidad, embarazo posible, antecedentes y diferencias respecto de crisis previas. Se revisan cafeína, nicotina, cannabis, cocaína, anfetaminas, energizantes, descongestionantes y abstinencia de alcohol o benzodiazepinas.</w:t>
      </w:r>
    </w:p>
    <w:p>
      <w:r>
        <w:t>Elevan la urgencia el inicio durante esfuerzo, síncope verdadero, arritmia documentada, dolor persistente o distinto del habitual, hipoxia, hemoptisis, signos de tromboembolismo, déficit neurológico, convulsión, fiebre o inestabilidad fisiológica. Entre los diferenciales se incluyen síndrome coronario y arritmias, asma, tromboembolismo, hipoglicemia, hipertiroidismo, anemia, epilepsia y trastornos vestibulares.</w:t>
      </w:r>
    </w:p>
    <w:p>
      <w:r>
        <w:t>Signos vitales, examen físico, electrocardiograma, glicemia y otros estudios se eligen según edad, contexto, hallazgos y riesgo. Una evaluación previa normal modifica probabilidades, pero no invalida síntomas nuevos. A la inversa, solicitar el mismo panel sin cambio clínico puede crear cascadas diagnósticas y reforzar reaseguro.</w:t>
      </w:r>
    </w:p>
    <w:p>
      <w:pPr>
        <w:pStyle w:val="Heading1"/>
      </w:pPr>
      <w:r>
        <w:t>Manejo durante una crisis</w:t>
      </w:r>
    </w:p>
    <w:p>
      <w:r>
        <w:t>El clínico se presenta, reduce estímulos, usa frases breves y explica que evaluará seguridad. No conviene declarar pánico antes de descartar lo urgente ni dramatizar cada sensación. Se favorece una respiración regular y no forzada, orientación al entorno y permanencia acompañada mientras disminuye la respuesta autonómica. La bolsa de papel no debe utilizarse: si la causa es hipoxia u otra enfermedad, puede ser peligrosa.</w:t>
      </w:r>
    </w:p>
    <w:p>
      <w:r>
        <w:t>Una benzodiazepina no es necesaria para toda crisis. Su uso ocasional puede considerarse en situaciones seleccionadas después de evaluar depresión respiratoria, intoxicación, caídas y riesgo de dependencia, pero convertirla en la única forma de terminar cada episodio consolida dependencia conductual y farmacológica. La explicación detallada y el plan se realizan cuando la activación permite procesarlos.</w:t>
      </w:r>
    </w:p>
    <w:p>
      <w:pPr>
        <w:pStyle w:val="Heading1"/>
      </w:pPr>
      <w:r>
        <w:t>Terapia cognitivo-conductual y exposición</w:t>
      </w:r>
    </w:p>
    <w:p>
      <w:r>
        <w:t>La terapia cognitivo-conductual (</w:t>
      </w:r>
      <w:r>
        <w:rPr>
          <w:b/>
        </w:rPr>
        <w:t>TCC</w:t>
      </w:r>
      <w:r>
        <w:t>) incluye psicoeducación, examen de interpretaciones catastróficas, exposición interoceptiva a sensaciones temidas y exposición gradual a situaciones evitadas. La exposición no es una orden de “aguantar” ni una prueba de valentía: se diseña colaborativamente, se repite y reduce progresivamente escape y conductas de seguridad.</w:t>
      </w:r>
    </w:p>
    <w:p>
      <w:r>
        <w:t>La exposición interoceptiva permite aprender que sensaciones como mareo, taquicardia o disnea son tolerables y no predicen necesariamente catástrofe. Antes se consideran contraindicaciones médicas y se realiza dentro de un tratamiento, no como ejercicio improvisado. En agorafobia, la meta no es sólo reducir crisis en casa, sino recuperar desplazamiento, estudio, trabajo y vínculos.</w:t>
      </w:r>
    </w:p>
    <w:p>
      <w:pPr>
        <w:pStyle w:val="Heading1"/>
      </w:pPr>
      <w:r>
        <w:t>Farmacoterapia y continuidad</w:t>
      </w:r>
    </w:p>
    <w:p>
      <w:r>
        <w:t>Los inhibidores selectivos de recaptación de serotonina (</w:t>
      </w:r>
      <w:r>
        <w:rPr>
          <w:b/>
        </w:rPr>
        <w:t>ISRS</w:t>
      </w:r>
      <w:r>
        <w:t>) y algunos inhibidores de recaptación de serotonina y noradrenalina (</w:t>
      </w:r>
      <w:r>
        <w:rPr>
          <w:b/>
        </w:rPr>
        <w:t>IRSN</w:t>
      </w:r>
      <w:r>
        <w:t>) son opciones de primera línea cuando la gravedad, preferencia o acceso lo justifican. Se inicia habitualmente con dosis baja y titulación gradual porque la activación inicial puede ser malinterpretada como peligro. Se explica que la respuesta no es inmediata y se controla tolerancia, adherencia, ánimo y suicidalidad.</w:t>
      </w:r>
    </w:p>
    <w:p>
      <w:r>
        <w:t>Después de respuesta se mantiene tratamiento durante un período suficiente para consolidarla y se retira gradualmente. Una suspensión brusca puede producir síntomas de discontinuación que se confunden con recaída. Antidepresivos tricíclicos pueden ser eficaces, pero su tolerabilidad y toxicidad limitan su lugar. Los betabloqueadores no tratan el núcleo del trastorno de pánico.</w:t>
      </w:r>
    </w:p>
    <w:p>
      <w:r>
        <w:t>Las benzodiazepinas aportan alivio rápido, pero conllevan tolerancia, dependencia, rebote, deterioro psicomotor y riesgos al combinarlas con alcohol u opioides. También pueden interferir con la atribución del aprendizaje durante exposición. Si Paula las usa regularmente, el retiro debe ser gradual y supervisado; no se suspenden de manera abrupta.</w:t>
      </w:r>
    </w:p>
    <w:p>
      <w:pPr>
        <w:pStyle w:val="Heading1"/>
      </w:pPr>
      <w:r>
        <w:t>Comorbilidad y seguimiento</w:t>
      </w:r>
    </w:p>
    <w:p>
      <w:r>
        <w:t>Se buscan depresión, ansiedad social, trastorno por estrés postraumático, ansiedad por enfermedad, consumo y agorafobia. El pánico no protege del suicidio; desesperanza, depresión y deterioro requieren exploración directa. El seguimiento mide frecuencia de crisis, ansiedad anticipatoria, evitación, conductas de seguridad, consultas a urgencia y función. Una crisis ocasional con vida recuperada puede representar mejor evolución que ausencia de crisis a costa de no salir.</w:t>
      </w:r>
    </w:p>
    <w:p>
      <w:r>
        <w:t>En Paula, el plan razonable integra explicación, TCC con exposición, eventual ISRS o IRSN y retiro gradual del clonazepam si está cronificado. El oxímetro y el acompañamiento se reducen de forma planificada, no mediante prohibición humillante.</w:t>
      </w:r>
    </w:p>
    <w:p>
      <w:pPr>
        <w:pStyle w:val="Heading1"/>
      </w:pPr>
      <w:r>
        <w:t>Errores frecuentes</w:t>
      </w:r>
    </w:p>
    <w:p>
      <w:pPr>
        <w:pStyle w:val="ListBullet"/>
      </w:pPr>
      <w:r>
        <w:t>Diagnosticar pánico antes de evaluar banderas rojas.</w:t>
      </w:r>
    </w:p>
    <w:p>
      <w:pPr>
        <w:pStyle w:val="ListBullet"/>
      </w:pPr>
      <w:r>
        <w:t>Decir “no tiene nada” o atribuir voluntariamente los síntomas a la persona.</w:t>
      </w:r>
    </w:p>
    <w:p>
      <w:pPr>
        <w:pStyle w:val="ListBullet"/>
      </w:pPr>
      <w:r>
        <w:t>Usar una bolsa de papel.</w:t>
      </w:r>
    </w:p>
    <w:p>
      <w:pPr>
        <w:pStyle w:val="ListBullet"/>
      </w:pPr>
      <w:r>
        <w:t>Repetir estudios completos indefinidamente sin un cambio o hipótesis nueva.</w:t>
      </w:r>
    </w:p>
    <w:p>
      <w:pPr>
        <w:pStyle w:val="ListBullet"/>
      </w:pPr>
      <w:r>
        <w:t>Tratar sólo con benzodiazepinas o suspenderlas bruscamente.</w:t>
      </w:r>
    </w:p>
    <w:p>
      <w:pPr>
        <w:pStyle w:val="ListBullet"/>
      </w:pPr>
      <w:r>
        <w:t>Confundir ausencia de crisis dentro de casa con recuperación.</w:t>
      </w:r>
    </w:p>
    <w:p>
      <w:pPr>
        <w:pStyle w:val="ListBullet"/>
      </w:pPr>
      <w:r>
        <w:t>Convertir respiración, oxímetro o acompañante en requisitos permanentes.</w:t>
      </w:r>
    </w:p>
    <w:p>
      <w:pPr>
        <w:pStyle w:val="Heading1"/>
      </w:pPr>
      <w:r>
        <w:t>Para recordar</w:t>
      </w:r>
    </w:p>
    <w:p>
      <w:pPr>
        <w:spacing w:after="60" w:line="288" w:lineRule="auto"/>
        <w:ind w:left="432" w:hanging="216"/>
        <w:shd w:fill="EAF6F3"/>
        <w:keepNext/>
        <w:keepLines/>
        <w:pBdr>
          <w:left w:val="single" w:sz="8" w:space="8" w:color="2A8C82"/>
        </w:pBdr>
      </w:pPr>
      <w:r>
        <w:t>1. Crisis de pánico no equivale a trastorno de pánico ni identifica una causa.</w:t>
      </w:r>
    </w:p>
    <w:p>
      <w:pPr>
        <w:spacing w:after="60" w:line="288" w:lineRule="auto"/>
        <w:ind w:left="432" w:hanging="216"/>
        <w:shd w:fill="EAF6F3"/>
        <w:keepNext/>
        <w:keepLines/>
        <w:pBdr>
          <w:left w:val="single" w:sz="8" w:space="8" w:color="2A8C82"/>
        </w:pBdr>
      </w:pPr>
      <w:r>
        <w:t>2. El descarte médico se guía por patrón, banderas rojas y cambios respecto de episodios previos.</w:t>
      </w:r>
    </w:p>
    <w:p>
      <w:pPr>
        <w:spacing w:after="60" w:line="288" w:lineRule="auto"/>
        <w:ind w:left="432" w:hanging="216"/>
        <w:shd w:fill="EAF6F3"/>
        <w:keepNext/>
        <w:keepLines/>
        <w:pBdr>
          <w:left w:val="single" w:sz="8" w:space="8" w:color="2A8C82"/>
        </w:pBdr>
      </w:pPr>
      <w:r>
        <w:t>3. Evitación y conductas de seguridad alivian a corto plazo y mantienen el temor.</w:t>
      </w:r>
    </w:p>
    <w:p>
      <w:pPr>
        <w:spacing w:after="60" w:line="288" w:lineRule="auto"/>
        <w:ind w:left="432" w:hanging="216"/>
        <w:shd w:fill="EAF6F3"/>
        <w:keepNext/>
        <w:keepLines/>
        <w:pBdr>
          <w:left w:val="single" w:sz="8" w:space="8" w:color="2A8C82"/>
        </w:pBdr>
      </w:pPr>
      <w:r>
        <w:t>4. TCC con exposición e ISRS o IRSN son tratamientos centrales según necesidad y preferencia.</w:t>
      </w:r>
    </w:p>
    <w:p>
      <w:pPr>
        <w:spacing w:after="60" w:line="288" w:lineRule="auto"/>
        <w:ind w:left="432" w:hanging="216"/>
        <w:shd w:fill="EAF6F3"/>
        <w:keepLines/>
        <w:pBdr>
          <w:left w:val="single" w:sz="8" w:space="8" w:color="2A8C82"/>
        </w:pBdr>
      </w:pPr>
      <w:r>
        <w:t>5. El objetivo es recuperar función y libertad de movimiento, no organizar una vida sin sensaciones corporales.</w:t>
      </w:r>
    </w:p>
    <w:p>
      <w:pPr>
        <w:pStyle w:val="Heading1"/>
      </w:pPr>
      <w:r>
        <w:t>Bibliografía esencial</w:t>
      </w:r>
    </w:p>
    <w:p>
      <w:pPr>
        <w:pStyle w:val="Bibliography"/>
      </w:pPr>
      <w:r>
        <w:t xml:space="preserve">• American Psychiatric Association. </w:t>
      </w:r>
      <w:r>
        <w:rPr>
          <w:i/>
        </w:rPr>
        <w:t>Diagnostic and Statistical Manual of Mental Disorders: DSM-5-TR</w:t>
      </w:r>
      <w:r>
        <w:t xml:space="preserve">. American Psychiatric Association Publishing; 2022. </w:t>
      </w:r>
      <w:hyperlink r:id="rId49">
        <w:r>
          <w:rPr>
            <w:color w:val="246B8E"/>
            <w:u w:val="single"/>
          </w:rPr>
          <w:t>DOI</w:t>
        </w:r>
      </w:hyperlink>
      <w:r>
        <w:t>.</w:t>
      </w:r>
    </w:p>
    <w:p>
      <w:pPr>
        <w:pStyle w:val="Bibliography"/>
      </w:pPr>
      <w:r>
        <w:t xml:space="preserve">• World Health Organization. </w:t>
      </w:r>
      <w:r>
        <w:rPr>
          <w:i/>
        </w:rPr>
        <w:t>Clinical Descriptions and Diagnostic Requirements for ICD-11 Mental, Behavioural and Neurodevelopmental Disorders</w:t>
      </w:r>
      <w:r>
        <w:t xml:space="preserve">. 2024. </w:t>
      </w:r>
      <w:hyperlink r:id="rId69">
        <w:r>
          <w:rPr>
            <w:color w:val="246B8E"/>
            <w:u w:val="single"/>
          </w:rPr>
          <w:t>Publicación oficial</w:t>
        </w:r>
      </w:hyperlink>
      <w:r>
        <w:t>.</w:t>
      </w:r>
    </w:p>
    <w:p>
      <w:pPr>
        <w:pStyle w:val="Bibliography"/>
      </w:pPr>
      <w:r>
        <w:t xml:space="preserve">• National Institute for Health and Care Excellence. </w:t>
      </w:r>
      <w:r>
        <w:rPr>
          <w:i/>
        </w:rPr>
        <w:t>Generalised anxiety disorder and panic disorder in adults: management</w:t>
      </w:r>
      <w:r>
        <w:t xml:space="preserve">. CG113; 2011, última actualización clínica 2020, revisada 2024 y con actualización de enlaces en 2026. </w:t>
      </w:r>
      <w:hyperlink r:id="rId70">
        <w:r>
          <w:rPr>
            <w:color w:val="246B8E"/>
            <w:u w:val="single"/>
          </w:rPr>
          <w:t>Guía</w:t>
        </w:r>
      </w:hyperlink>
      <w:r>
        <w:t>.</w:t>
      </w:r>
    </w:p>
    <w:p>
      <w:pPr>
        <w:pStyle w:val="Bibliography"/>
      </w:pPr>
      <w:r>
        <w:t xml:space="preserve">• Craske MG, Stein MB. Anxiety. </w:t>
      </w:r>
      <w:r>
        <w:rPr>
          <w:i/>
        </w:rPr>
        <w:t>Lancet</w:t>
      </w:r>
      <w:r>
        <w:t xml:space="preserve">. 2016;388(10063):3048–3059. </w:t>
      </w:r>
      <w:hyperlink r:id="rId71">
        <w:r>
          <w:rPr>
            <w:color w:val="246B8E"/>
            <w:u w:val="single"/>
          </w:rPr>
          <w:t>DOI</w:t>
        </w:r>
      </w:hyperlink>
      <w:r>
        <w:t>.</w:t>
      </w:r>
    </w:p>
    <w:p>
      <w:pPr>
        <w:pStyle w:val="Bibliography"/>
      </w:pPr>
      <w:r>
        <w:t xml:space="preserve">• Pompoli A, Furukawa TA, Imai H, et al. Psychological therapies for panic disorder with or without agoraphobia in adults: a network meta-analysis. </w:t>
      </w:r>
      <w:r>
        <w:rPr>
          <w:i/>
        </w:rPr>
        <w:t>Cochrane Database of Systematic Reviews</w:t>
      </w:r>
      <w:r>
        <w:t xml:space="preserve">. 2016;(4):CD011004. </w:t>
      </w:r>
      <w:hyperlink r:id="rId72">
        <w:r>
          <w:rPr>
            <w:color w:val="246B8E"/>
            <w:u w:val="single"/>
          </w:rPr>
          <w:t>DOI</w:t>
        </w:r>
      </w:hyperlink>
      <w:r>
        <w:t>.</w:t>
      </w:r>
    </w:p>
    <w:p>
      <w:r>
        <w:br w:type="page"/>
      </w:r>
    </w:p>
    <w:p>
      <w:pPr>
        <w:spacing w:after="480"/>
      </w:pPr>
      <w:r>
        <w:rPr>
          <w:rFonts w:ascii="Calibri" w:hAnsi="Calibri"/>
          <w:b/>
          <w:color w:val="2A8C82"/>
          <w:sz w:val="20"/>
        </w:rPr>
        <w:t>CAPÍTULO 27 · MATERIAL PARA ESTUDIANTES</w:t>
      </w:r>
    </w:p>
    <w:tbl>
      <w:tblPr>
        <w:tblW w:type="auto" w:w="0"/>
        <w:jc w:val="left"/>
        <w:tblLayout w:type="fixed"/>
        <w:tblLook w:firstColumn="1" w:firstRow="1" w:lastColumn="0" w:lastRow="0" w:noHBand="0" w:noVBand="1" w:val="04A0"/>
      </w:tblPr>
      <w:tblGrid>
        <w:gridCol w:w="9648"/>
      </w:tblGrid>
      <w:tr>
        <w:trPr>
          <w:tblHeader w:val="true"/>
        </w:trPr>
        <w:tc>
          <w:tcPr>
            <w:tcW w:type="dxa" w:w="9072"/>
            <w:shd w:fill="173A5E"/>
            <w:tcMar>
              <w:top w:w="120" w:type="dxa"/>
              <w:start w:w="220" w:type="dxa"/>
              <w:bottom w:w="120" w:type="dxa"/>
              <w:end w:w="220" w:type="dxa"/>
            </w:tcMar>
          </w:tcPr>
          <w:p>
            <w:pPr>
              <w:spacing w:after="0"/>
            </w:pPr>
            <w:r>
              <w:rPr>
                <w:rFonts w:ascii="Calibri" w:hAnsi="Calibri"/>
                <w:b/>
                <w:color w:val="FFFFFF"/>
                <w:sz w:val="19"/>
              </w:rPr>
              <w:t>MÓDULO II · PATOLOGÍAS, GES Y TRATAMIENTOS</w:t>
            </w:r>
          </w:p>
        </w:tc>
      </w:tr>
    </w:tbl>
    <w:p>
      <w:pPr>
        <w:pStyle w:val="Title"/>
        <w:spacing w:before="520" w:after="360"/>
        <w:outlineLvl w:val="0"/>
      </w:pPr>
      <w:bookmarkStart w:id="1027" w:name="chapter_27"/>
      <w:r>
        <w:t>Trastorno de ansiedad generalizada</w:t>
      </w:r>
      <w:bookmarkEnd w:id="1027"/>
    </w:p>
    <w:p>
      <w:pPr>
        <w:spacing w:after="80"/>
      </w:pPr>
      <w:r>
        <w:rPr>
          <w:rFonts w:ascii="Calibri" w:hAnsi="Calibri"/>
          <w:b/>
          <w:color w:val="246B8E"/>
          <w:sz w:val="26"/>
        </w:rPr>
        <w:t>Programa de Psiquiatría para internos de Medicina</w:t>
      </w:r>
    </w:p>
    <w:p>
      <w:r>
        <w:rPr>
          <w:rFonts w:ascii="Calibri" w:hAnsi="Calibri"/>
          <w:color w:val="6B7280"/>
          <w:sz w:val="22"/>
        </w:rPr>
        <w:t>Lectura complementaria · Chile · Versión final para revisión humana · 2026</w:t>
      </w:r>
    </w:p>
    <w:p/>
    <w:p/>
    <w:p/>
    <w:p/>
    <w:p/>
    <w:tbl>
      <w:tblPr>
        <w:tblW w:type="auto" w:w="0"/>
        <w:jc w:val="left"/>
        <w:tblLayout w:type="fixed"/>
        <w:tblLook w:firstColumn="1" w:firstRow="1" w:lastColumn="0" w:lastRow="0" w:noHBand="0" w:noVBand="1" w:val="04A0"/>
      </w:tblPr>
      <w:tblGrid>
        <w:gridCol w:w="9648"/>
      </w:tblGrid>
      <w:tr>
        <w:trPr>
          <w:tblHeader w:val="true"/>
        </w:trPr>
        <w:tc>
          <w:tcPr>
            <w:tcW w:type="dxa" w:w="9648"/>
            <w:shd w:fill="F3F5F6"/>
            <w:tcBorders>
              <w:start w:val="single" w:sz="18" w:color="2A8C82"/>
            </w:tcBorders>
            <w:tcMar>
              <w:top w:w="160" w:type="dxa"/>
              <w:start w:w="220" w:type="dxa"/>
              <w:bottom w:w="160" w:type="dxa"/>
              <w:end w:w="220" w:type="dxa"/>
            </w:tcMar>
          </w:tcPr>
          <w:p>
            <w:pPr>
              <w:spacing w:after="0"/>
            </w:pPr>
            <w:r>
              <w:rPr>
                <w:rFonts w:ascii="Calibri" w:hAnsi="Calibri"/>
                <w:i/>
                <w:color w:val="6B7280"/>
                <w:sz w:val="18"/>
              </w:rPr>
              <w:t>Versión docente final para revisión humana. Material propuesto y contextualizado a Chile; no corresponde a un programa oficial de la Pontificia Universidad Católica de Chile ni sustituye protocolos locales, supervisión clínica o evaluación especializada. Fuentes revisadas al 15 de agosto de 2026.</w:t>
            </w:r>
          </w:p>
        </w:tc>
      </w:tr>
    </w:tbl>
    <w:p>
      <w:r>
        <w:br w:type="page"/>
      </w:r>
    </w:p>
    <w:tbl>
      <w:tblPr>
        <w:tblW w:type="auto" w:w="0"/>
        <w:jc w:val="center"/>
        <w:tblLayout w:type="autofit"/>
        <w:tblLook w:firstColumn="1" w:firstRow="1" w:lastColumn="0" w:lastRow="0" w:noHBand="0" w:noVBand="1" w:val="04A0"/>
      </w:tblPr>
      <w:tblGrid>
        <w:gridCol w:w="9648"/>
      </w:tblGrid>
      <w:tr>
        <w:trPr>
          <w:tblHeader w:val="true"/>
        </w:trPr>
        <w:tc>
          <w:tcPr>
            <w:tcW w:type="dxa" w:w="9648"/>
            <w:vAlign w:val="center"/>
            <w:shd w:fill="EAF3F7"/>
            <w:tcBorders>
              <w:start w:val="single" w:sz="14" w:color="2A8C82"/>
            </w:tcBorders>
            <w:tcMar>
              <w:top w:w="130" w:type="dxa"/>
              <w:start w:w="190" w:type="dxa"/>
              <w:bottom w:w="130" w:type="dxa"/>
              <w:end w:w="190" w:type="dxa"/>
            </w:tcMar>
          </w:tcPr>
          <w:p>
            <w:pPr>
              <w:spacing w:after="0"/>
            </w:pPr>
            <w:r>
              <w:rPr>
                <w:b/>
                <w:color w:val="173A5E"/>
              </w:rPr>
              <w:t xml:space="preserve">PREGUNTA CLÍNICA  </w:t>
            </w:r>
            <w:r>
              <w:t>¿Cuándo la preocupación deja de ser una respuesta humana útil y se transforma en un trastorno persistente que requiere tratamiento?</w:t>
            </w:r>
          </w:p>
        </w:tc>
      </w:tr>
    </w:tbl>
    <w:p>
      <w:pPr>
        <w:spacing w:after="0"/>
      </w:pPr>
    </w:p>
    <w:tbl>
      <w:tblPr>
        <w:tblW w:type="auto" w:w="0"/>
        <w:jc w:val="center"/>
        <w:tblLayout w:type="autofit"/>
        <w:tblLook w:firstColumn="1" w:firstRow="1" w:lastColumn="0" w:lastRow="0" w:noHBand="0" w:noVBand="1" w:val="04A0"/>
      </w:tblPr>
      <w:tblGrid>
        <w:gridCol w:w="9648"/>
      </w:tblGrid>
      <w:tr>
        <w:trPr>
          <w:tblHeader w:val="true"/>
        </w:trPr>
        <w:tc>
          <w:tcPr>
            <w:tcW w:type="dxa" w:w="9648"/>
            <w:vAlign w:val="center"/>
            <w:shd w:fill="EAF6F3"/>
            <w:tcBorders>
              <w:start w:val="single" w:sz="14" w:color="2A8C82"/>
            </w:tcBorders>
            <w:tcMar>
              <w:top w:w="130" w:type="dxa"/>
              <w:start w:w="190" w:type="dxa"/>
              <w:bottom w:w="130" w:type="dxa"/>
              <w:end w:w="190" w:type="dxa"/>
            </w:tcMar>
          </w:tcPr>
          <w:p>
            <w:pPr>
              <w:spacing w:after="0"/>
            </w:pPr>
            <w:r>
              <w:rPr>
                <w:b/>
                <w:color w:val="173A5E"/>
              </w:rPr>
              <w:t xml:space="preserve">IDEA CENTRAL  </w:t>
            </w:r>
            <w:r>
              <w:t>El trastorno de ansiedad generalizada no es simplemente “estar nervioso”: combina preocupación excesiva, extendida a varios dominios, difícil de controlar y persistente, con activación física, conductas mantenedoras e interferencia funcional.</w:t>
            </w:r>
          </w:p>
        </w:tc>
      </w:tr>
    </w:tbl>
    <w:p>
      <w:pPr>
        <w:spacing w:after="0"/>
      </w:pPr>
    </w:p>
    <w:p>
      <w:pPr>
        <w:pStyle w:val="Heading1"/>
      </w:pPr>
      <w:r>
        <w:t>Por qué importa</w:t>
      </w:r>
    </w:p>
    <w:p>
      <w:r>
        <w:t>Preocuparse permite anticipar problemas y organizar acciones. Patologizar toda incertidumbre medicaliza la vida cotidiana; minimizar una preocupación crónica deja a la persona atrapada en insomnio, tensión, reaseguro y agotamiento. El contenido del trastorno de ansiedad generalizada (</w:t>
      </w:r>
      <w:r>
        <w:rPr>
          <w:b/>
        </w:rPr>
        <w:t>TAG</w:t>
      </w:r>
      <w:r>
        <w:t>) suele ser plausible —dinero, salud, trabajo, familia—. Lo patológico no es que esos asuntos importen, sino la frecuencia, incontrolabilidad, generalización y costo de la respuesta.</w:t>
      </w:r>
    </w:p>
    <w:p>
      <w:r>
        <w:t>El TAG suele consultar mediante síntomas físicos o insomnio y coexistir con depresión, dolor y otros trastornos ansiosos. Sin una evaluación integrada es fácil acumular sedantes o estudios médicos sin tratar el proceso central.</w:t>
      </w:r>
    </w:p>
    <w:p>
      <w:pPr>
        <w:pStyle w:val="Heading1"/>
      </w:pPr>
      <w:r>
        <w:t>Objetivos de aprendizaje</w:t>
      </w:r>
    </w:p>
    <w:p>
      <w:pPr>
        <w:keepNext/>
      </w:pPr>
      <w:r>
        <w:t>Al finalizar este capítulo, el estudiante podrá:</w:t>
      </w:r>
    </w:p>
    <w:p>
      <w:pPr>
        <w:spacing w:after="60" w:line="288" w:lineRule="auto"/>
        <w:ind w:left="432" w:hanging="216"/>
      </w:pPr>
      <w:r>
        <w:t>1. Distinguir preocupación adaptativa, estrés, ansiedad rasgo y TAG.</w:t>
      </w:r>
    </w:p>
    <w:p>
      <w:pPr>
        <w:spacing w:after="60" w:line="288" w:lineRule="auto"/>
        <w:ind w:left="432" w:hanging="216"/>
      </w:pPr>
      <w:r>
        <w:t>2. Reconocer su presentación cognitiva, somática, conductual y funcional.</w:t>
      </w:r>
    </w:p>
    <w:p>
      <w:pPr>
        <w:spacing w:after="60" w:line="288" w:lineRule="auto"/>
        <w:ind w:left="432" w:hanging="216"/>
      </w:pPr>
      <w:r>
        <w:t>3. Diferenciarlo de depresión, TOC, pánico, ansiedad por enfermedad y TDAH.</w:t>
      </w:r>
    </w:p>
    <w:p>
      <w:pPr>
        <w:spacing w:after="60" w:line="288" w:lineRule="auto"/>
        <w:ind w:left="432" w:hanging="216"/>
      </w:pPr>
      <w:r>
        <w:t>4. Buscar causas médicas, farmacológicas y por sustancias según hipótesis.</w:t>
      </w:r>
    </w:p>
    <w:p>
      <w:pPr>
        <w:spacing w:after="60" w:line="288" w:lineRule="auto"/>
        <w:ind w:left="432" w:hanging="216"/>
      </w:pPr>
      <w:r>
        <w:t>5. Utilizar GAD-7 para tamizaje y seguimiento, no como veredicto diagnóstico.</w:t>
      </w:r>
    </w:p>
    <w:p>
      <w:pPr>
        <w:spacing w:after="60" w:line="288" w:lineRule="auto"/>
        <w:ind w:left="432" w:hanging="216"/>
      </w:pPr>
      <w:r>
        <w:t>6. Seleccionar psicoterapia y farmacoterapia de primera línea según gravedad y preferencia.</w:t>
      </w:r>
    </w:p>
    <w:p>
      <w:pPr>
        <w:spacing w:after="60" w:line="288" w:lineRule="auto"/>
        <w:ind w:left="432" w:hanging="216"/>
      </w:pPr>
      <w:r>
        <w:t>7. Evaluar respuesta evitando benzodiazepinas crónicas y polifarmacia prematura.</w:t>
      </w:r>
    </w:p>
    <w:p>
      <w:pPr>
        <w:pStyle w:val="Heading1"/>
      </w:pPr>
      <w:r>
        <w:t>Caso clínico</w:t>
      </w:r>
    </w:p>
    <w:p>
      <w:pPr>
        <w:shd w:fill="EAF3F7"/>
        <w:keepNext/>
        <w:keepLines/>
        <w:pBdr>
          <w:left w:val="single" w:sz="8" w:space="8" w:color="246B8E"/>
        </w:pBdr>
        <w:ind w:left="173" w:right="86"/>
      </w:pPr>
      <w:r>
        <w:t>Andrés, de 45 años, lleva más de un año preocupado casi todos los días por trabajo, salud de sus hijos, dinero y errores menores. Cuando un problema se resuelve, aparece otro. Presenta tensión cervical, irritabilidad, fatiga y sueño fragmentado; revisa correos laborales de madrugada y pide repetidamente a su esposa que confirme que “todo está bien”. Consulta solicitando “algo fuerte para apagar la cabeza”. Consume cuatro bebidas energéticas al día.</w:t>
      </w:r>
    </w:p>
    <w:p>
      <w:pPr>
        <w:shd w:fill="EAF3F7"/>
        <w:keepLines/>
        <w:pBdr>
          <w:left w:val="single" w:sz="8" w:space="8" w:color="246B8E"/>
        </w:pBdr>
        <w:ind w:left="173" w:right="86"/>
      </w:pPr>
      <w:r>
        <w:t>La petición de un sedante es comprensible, pero no define el tratamiento. Hay que caracterizar el patrón, su función, las conductas mantenedoras, la exposición a estimulantes y posibles comorbilidades.</w:t>
      </w:r>
    </w:p>
    <w:p>
      <w:pPr>
        <w:pStyle w:val="Heading1"/>
      </w:pPr>
      <w:r>
        <w:t>Preocupación adaptativa y preocupación patológica</w:t>
      </w:r>
    </w:p>
    <w:p>
      <w:r>
        <w:t>La preocupación adaptativa suele ser proporcional a un problema, conduce a una acción posible y disminuye al resolverlo o aceptar sus límites. En TAG, la mente intenta obtener certeza completa mediante escenarios repetidos. La preocupación se extiende a varios dominios, resulta difícil de detener y consume recursos sin producir decisiones nuevas.</w:t>
      </w:r>
    </w:p>
    <w:p>
      <w:r>
        <w:t>Son frecuentes la sobrepreparación, procrastinación por miedo a equivocarse, revisión, búsqueda de reaseguro y evitación de decisiones. Estas conductas disminuyen incertidumbre de inmediato, pero impiden aprender que es posible actuar sin certeza. El trabajo excesivo puede ser socialmente premiado y ocultar deterioro hasta que aparecen insomnio, conflictos o síntomas físicos.</w:t>
      </w:r>
    </w:p>
    <w:p>
      <w:r>
        <w:t>El diagnóstico exige persistencia durante meses e interferencia o malestar clínicamente significativo. DSM-5-TR utiliza seis meses como umbral y, en adultos, exige al menos tres de seis síntomas asociados; CIE-11 formula la duración y el patrón con matices propios. Los sistemas no deben mezclarse como si sus criterios fueran idénticos. Una semana de preocupación después de una amenaza real no es TAG.</w:t>
      </w:r>
    </w:p>
    <w:p>
      <w:pPr>
        <w:pStyle w:val="Heading1"/>
      </w:pPr>
      <w:r>
        <w:t>Presentación clínica</w:t>
      </w:r>
    </w:p>
    <w:p>
      <w:r>
        <w:t>El núcleo es preocupación excesiva y difícil de controlar. Se asocian inquietud o sensación de estar al límite, fatigabilidad, problemas de concentración, irritabilidad, tensión muscular y alteración del sueño. Cefalea, bruxismo, molestias gastrointestinales y dolor pueden ser la puerta de entrada. Ningún síntoma somático aislado es específico.</w:t>
      </w:r>
    </w:p>
    <w:p>
      <w:r>
        <w:t>La exploración incluye inicio, curso, áreas de preocupación, horas ocupadas, control percibido, función y estrategias utilizadas. Se pregunta qué ocurriría si la persona no revisara, no planificara o no pidiera confirmación. También se examina consumo de alcohol, sedantes o cannabis para dormir y estimulantes para compensar fatiga.</w:t>
      </w:r>
    </w:p>
    <w:p>
      <w:r>
        <w:t>En personas mayores pueden dominar síntomas físicos, temor por salud y polifarmacia. En cualquier edad se compara con el estilo basal: ser responsable o prever dificultades no constituye trastorno si no hay exceso, incontrolabilidad y costo.</w:t>
      </w:r>
    </w:p>
    <w:p>
      <w:pPr>
        <w:pStyle w:val="Heading1"/>
      </w:pPr>
      <w:r>
        <w:t>Diagnóstico diferencial</w:t>
      </w:r>
    </w:p>
    <w:p>
      <w:r>
        <w:t xml:space="preserve">En depresión, la </w:t>
      </w:r>
      <w:r>
        <w:rPr>
          <w:b/>
        </w:rPr>
        <w:t>rumiación</w:t>
      </w:r>
      <w:r>
        <w:t xml:space="preserve"> suele concentrarse en pérdida, culpa, fracaso y consecuencias del pasado, acompañada de anhedonia o desesperanza. Puede coexistir con preocupación prospectiva. En el trastorno obsesivo-compulsivo, las obsesiones tienden a ser intrusivas y se asocian a compulsiones o neutralización; algunas preocupaciones cotidianas también pueden ritualizarse, por lo que la función importa más que el tema.</w:t>
      </w:r>
    </w:p>
    <w:p>
      <w:r>
        <w:t>El trastorno de pánico se organiza en torno a crisis abruptas y temor a su recurrencia. La ansiedad social gira alrededor del escrutinio; la ansiedad por enfermedad, alrededor de padecer o adquirir una enfermedad; el trastorno por estrés postraumático, alrededor de una exposición traumática y su patrón específico. En un trastorno de adaptación, la relación con un estresor y la evolución temporal son centrales.</w:t>
      </w:r>
    </w:p>
    <w:p>
      <w:r>
        <w:t>La inatención por TAG suele fluctuar con la preocupación y aparecer después de ella. En TDAH se busca un patrón del neurodesarrollo, transversal a contextos y previo al cuadro ansioso. Dolor, apnea del sueño y privación crónica de sueño pueden producir ansiedad y deterioro cognitivo bidireccional.</w:t>
      </w:r>
    </w:p>
    <w:p>
      <w:r>
        <w:t>Hipertiroidismo, arritmias, anemia y otras condiciones se estudian cuando historia o examen las sugieren. Cafeína, energizantes, estimulantes, cannabis, corticoides, descongestionantes y abstinencia de alcohol o benzodiazepinas pueden contribuir. Una tirotropina o batería de laboratorio no se solicita por ritual; se vincula a una hipótesis.</w:t>
      </w:r>
    </w:p>
    <w:p>
      <w:pPr>
        <w:pStyle w:val="Heading1"/>
      </w:pPr>
      <w:r>
        <w:t>Evaluación y uso de GAD-7</w:t>
      </w:r>
    </w:p>
    <w:p>
      <w:r>
        <w:t>Además del síndrome se evalúan depresión, bipolaridad, consumo, sueño, funcionamiento, suicidalidad y tratamientos previos. El examen físico y los estudios se dirigen por la presentación. Debe preguntarse por fármacos prescritos y no prescritos, productos naturales y cantidad real de cafeína.</w:t>
      </w:r>
    </w:p>
    <w:p>
      <w:r>
        <w:t xml:space="preserve">El </w:t>
      </w:r>
      <w:r>
        <w:rPr>
          <w:b/>
        </w:rPr>
        <w:t>GAD-7</w:t>
      </w:r>
      <w:r>
        <w:t xml:space="preserve"> es un cuestionario breve útil para tamizaje, cuantificación y seguimiento. Un puntaje alto no prueba TAG: también aumenta en otros trastornos ansiosos o depresivos y no establece causa. Un puntaje bajo tampoco invalida deterioro si la presentación se concentra en dominios no capturados o existen barreras de comprensión. Se registra la versión y se interpreta junto con entrevista y función.</w:t>
      </w:r>
    </w:p>
    <w:p>
      <w:pPr>
        <w:pStyle w:val="Heading1"/>
      </w:pPr>
      <w:r>
        <w:t>Psicoterapia</w:t>
      </w:r>
    </w:p>
    <w:p>
      <w:r>
        <w:t>La terapia cognitivo-conductual (</w:t>
      </w:r>
      <w:r>
        <w:rPr>
          <w:b/>
        </w:rPr>
        <w:t>TCC</w:t>
      </w:r>
      <w:r>
        <w:t>) ayuda a distinguir problemas solucionables de incertidumbres no controlables, revisar estimaciones de amenaza, reducir reaseguro y evitación, y recuperar actividades. Puede incorporar exposición a la incertidumbre, solución de problemas, trabajo con creencias sobre la utilidad de preocuparse y técnicas de regulación. Las aproximaciones metacognitivas y basadas en aceptación cuentan con evidencia y pueden ser alternativas según formación y preferencia.</w:t>
      </w:r>
    </w:p>
    <w:p>
      <w:r>
        <w:t>Intervenir el sueño, la actividad física y el consumo de estimulantes apoya la recuperación, pero no reemplaza tratamiento cuando el trastorno es moderado o grave. “Deje de pensar” o entregar una lista genérica de higiene del sueño suele añadir culpa. Un horario de preocupaciones sólo tiene sentido dentro de una formulación y con evaluación de su efecto; no es un ritual universal.</w:t>
      </w:r>
    </w:p>
    <w:p>
      <w:pPr>
        <w:pStyle w:val="Heading1"/>
      </w:pPr>
      <w:r>
        <w:t>Farmacoterapia</w:t>
      </w:r>
    </w:p>
    <w:p>
      <w:r>
        <w:t>Los inhibidores selectivos de recaptación de serotonina (</w:t>
      </w:r>
      <w:r>
        <w:rPr>
          <w:b/>
        </w:rPr>
        <w:t>ISRS</w:t>
      </w:r>
      <w:r>
        <w:t>) y algunos inhibidores de recaptación de serotonina y noradrenalina (</w:t>
      </w:r>
      <w:r>
        <w:rPr>
          <w:b/>
        </w:rPr>
        <w:t>IRSN</w:t>
      </w:r>
      <w:r>
        <w:t>) son opciones principales. La elección considera depresión o dolor concomitante, efectos sexuales, sueño, presión arterial, interacciones, síntomas de discontinuación, embarazo y preferencias. Se explica latencia, se inicia y titula prudentemente y se controla activación inicial, adherencia, ánimo y riesgo.</w:t>
      </w:r>
    </w:p>
    <w:p>
      <w:r>
        <w:t>Pregabalina puede considerarse en casos seleccionados según disponibilidad, comorbilidad renal, sedación y riesgo de uso problemático. Buspirona es una alternativa en determinados pacientes, pero no funciona como rescate inmediato. Ningún fármaco corrige por sí solo evitación, reaseguro o vida organizada alrededor de la certeza.</w:t>
      </w:r>
    </w:p>
    <w:p>
      <w:r>
        <w:t>Las benzodiazepinas no son tratamiento longitudinal de primera línea. Tolerancia, dependencia, abstinencia, deterioro psicomotor, caídas e interacción con alcohol u opioides pesan especialmente en uso sostenido. Si la persona ya las utiliza regularmente, se planifica un retiro gradual individualizado; “no más desde mañana” puede ser peligroso.</w:t>
      </w:r>
    </w:p>
    <w:p>
      <w:pPr>
        <w:pStyle w:val="Heading1"/>
      </w:pPr>
      <w:r>
        <w:t>Seguimiento y respuesta parcial</w:t>
      </w:r>
    </w:p>
    <w:p>
      <w:r>
        <w:t>El seguimiento mide tiempo de preocupación, control percibido, sueño, tensión, conductas de seguridad, función y consumo. Respuesta parcial no equivale a fracaso: antes de combinar se revisan diagnóstico, dosis y duración adecuadas, adherencia, efectos adversos, acceso a TCC y comorbilidad. Acumular varios fármacos a dosis subterapéuticas vuelve imposible saber qué funciona.</w:t>
      </w:r>
    </w:p>
    <w:p>
      <w:r>
        <w:t>Tras una respuesta estable, el tratamiento se mantiene el tiempo suficiente y se retira gradualmente. Refractariedad, bipolaridad posible, consumo complejo, riesgo o deterioro importante justifican evaluación especializada. En Andrés, reducir energizantes, explicar el ciclo, ofrecer TCC y discutir un ISRS o IRSN es más coherente que “apagar” la experiencia con un sedante crónico.</w:t>
      </w:r>
    </w:p>
    <w:p>
      <w:pPr>
        <w:pStyle w:val="Heading1"/>
      </w:pPr>
      <w:r>
        <w:t>Errores frecuentes</w:t>
      </w:r>
    </w:p>
    <w:p>
      <w:pPr>
        <w:pStyle w:val="ListBullet"/>
      </w:pPr>
      <w:r>
        <w:t>Diagnosticar TAG por estrés de pocos días o por un GAD-7 elevado.</w:t>
      </w:r>
    </w:p>
    <w:p>
      <w:pPr>
        <w:pStyle w:val="ListBullet"/>
      </w:pPr>
      <w:r>
        <w:t>Tratar como irracional el contenido realista de la preocupación.</w:t>
      </w:r>
    </w:p>
    <w:p>
      <w:pPr>
        <w:pStyle w:val="ListBullet"/>
      </w:pPr>
      <w:r>
        <w:t>Atribuir palpitaciones o tensión a ansiedad sin una evaluación dirigida.</w:t>
      </w:r>
    </w:p>
    <w:p>
      <w:pPr>
        <w:pStyle w:val="ListBullet"/>
      </w:pPr>
      <w:r>
        <w:t>Tratar sólo el insomnio y omitir preocupación, reaseguro y estimulantes.</w:t>
      </w:r>
    </w:p>
    <w:p>
      <w:pPr>
        <w:pStyle w:val="ListBullet"/>
      </w:pPr>
      <w:r>
        <w:t>Cronificar benzodiazepinas o suspenderlas bruscamente.</w:t>
      </w:r>
    </w:p>
    <w:p>
      <w:pPr>
        <w:pStyle w:val="ListBullet"/>
      </w:pPr>
      <w:r>
        <w:t>Agregar varios fármacos antes de optimizar una estrategia.</w:t>
      </w:r>
    </w:p>
    <w:p>
      <w:pPr>
        <w:pStyle w:val="ListBullet"/>
      </w:pPr>
      <w:r>
        <w:t>Presentar consejos generales de estilo de vida como tratamiento suficiente para todo caso.</w:t>
      </w:r>
    </w:p>
    <w:p>
      <w:pPr>
        <w:pStyle w:val="Heading1"/>
      </w:pPr>
      <w:r>
        <w:t>Para recordar</w:t>
      </w:r>
    </w:p>
    <w:p>
      <w:pPr>
        <w:spacing w:after="60" w:line="288" w:lineRule="auto"/>
        <w:ind w:left="432" w:hanging="216"/>
        <w:shd w:fill="EAF6F3"/>
        <w:keepNext/>
        <w:keepLines/>
        <w:pBdr>
          <w:left w:val="single" w:sz="8" w:space="8" w:color="2A8C82"/>
        </w:pBdr>
      </w:pPr>
      <w:r>
        <w:t>1. El contenido puede ser realista; el patrón excesivo, generalizado e incontrolable es el núcleo.</w:t>
      </w:r>
    </w:p>
    <w:p>
      <w:pPr>
        <w:spacing w:after="60" w:line="288" w:lineRule="auto"/>
        <w:ind w:left="432" w:hanging="216"/>
        <w:shd w:fill="EAF6F3"/>
        <w:keepNext/>
        <w:keepLines/>
        <w:pBdr>
          <w:left w:val="single" w:sz="8" w:space="8" w:color="2A8C82"/>
        </w:pBdr>
      </w:pPr>
      <w:r>
        <w:t>2. TAG requiere persistencia, síntomas asociados e interferencia, no sólo nerviosismo.</w:t>
      </w:r>
    </w:p>
    <w:p>
      <w:pPr>
        <w:spacing w:after="60" w:line="288" w:lineRule="auto"/>
        <w:ind w:left="432" w:hanging="216"/>
        <w:shd w:fill="EAF6F3"/>
        <w:keepNext/>
        <w:keepLines/>
        <w:pBdr>
          <w:left w:val="single" w:sz="8" w:space="8" w:color="2A8C82"/>
        </w:pBdr>
      </w:pPr>
      <w:r>
        <w:t>3. Cognición, cuerpo, conducta, sueño y sustancias se evalúan juntos.</w:t>
      </w:r>
    </w:p>
    <w:p>
      <w:pPr>
        <w:spacing w:after="60" w:line="288" w:lineRule="auto"/>
        <w:ind w:left="432" w:hanging="216"/>
        <w:shd w:fill="EAF6F3"/>
        <w:keepNext/>
        <w:keepLines/>
        <w:pBdr>
          <w:left w:val="single" w:sz="8" w:space="8" w:color="2A8C82"/>
        </w:pBdr>
      </w:pPr>
      <w:r>
        <w:t>4. TCC e ISRS o IRSN son pilares según gravedad, acceso y preferencia.</w:t>
      </w:r>
    </w:p>
    <w:p>
      <w:pPr>
        <w:spacing w:after="60" w:line="288" w:lineRule="auto"/>
        <w:ind w:left="432" w:hanging="216"/>
        <w:shd w:fill="EAF6F3"/>
        <w:keepLines/>
        <w:pBdr>
          <w:left w:val="single" w:sz="8" w:space="8" w:color="2A8C82"/>
        </w:pBdr>
      </w:pPr>
      <w:r>
        <w:t>5. La respuesta se mide por función y flexibilidad recuperadas, no sólo por menos tensión.</w:t>
      </w:r>
    </w:p>
    <w:p>
      <w:pPr>
        <w:pStyle w:val="Heading1"/>
      </w:pPr>
      <w:r>
        <w:t>Bibliografía esencial</w:t>
      </w:r>
    </w:p>
    <w:p>
      <w:pPr>
        <w:pStyle w:val="Bibliography"/>
      </w:pPr>
      <w:r>
        <w:t xml:space="preserve">• American Psychiatric Association. </w:t>
      </w:r>
      <w:r>
        <w:rPr>
          <w:i/>
        </w:rPr>
        <w:t>Diagnostic and Statistical Manual of Mental Disorders: DSM-5-TR</w:t>
      </w:r>
      <w:r>
        <w:t xml:space="preserve">. American Psychiatric Association Publishing; 2022. </w:t>
      </w:r>
      <w:hyperlink r:id="rId49">
        <w:r>
          <w:rPr>
            <w:color w:val="246B8E"/>
            <w:u w:val="single"/>
          </w:rPr>
          <w:t>DOI</w:t>
        </w:r>
      </w:hyperlink>
      <w:r>
        <w:t>.</w:t>
      </w:r>
    </w:p>
    <w:p>
      <w:pPr>
        <w:pStyle w:val="Bibliography"/>
      </w:pPr>
      <w:r>
        <w:t xml:space="preserve">• World Health Organization. </w:t>
      </w:r>
      <w:r>
        <w:rPr>
          <w:i/>
        </w:rPr>
        <w:t>Clinical Descriptions and Diagnostic Requirements for ICD-11 Mental, Behavioural and Neurodevelopmental Disorders</w:t>
      </w:r>
      <w:r>
        <w:t xml:space="preserve">. 2024. </w:t>
      </w:r>
      <w:hyperlink r:id="rId69">
        <w:r>
          <w:rPr>
            <w:color w:val="246B8E"/>
            <w:u w:val="single"/>
          </w:rPr>
          <w:t>Publicación oficial</w:t>
        </w:r>
      </w:hyperlink>
      <w:r>
        <w:t>.</w:t>
      </w:r>
    </w:p>
    <w:p>
      <w:pPr>
        <w:pStyle w:val="Bibliography"/>
      </w:pPr>
      <w:r>
        <w:t xml:space="preserve">• National Institute for Health and Care Excellence. </w:t>
      </w:r>
      <w:r>
        <w:rPr>
          <w:i/>
        </w:rPr>
        <w:t>Generalised anxiety disorder and panic disorder in adults: management</w:t>
      </w:r>
      <w:r>
        <w:t xml:space="preserve">. CG113; 2011, última actualización clínica 2020, revisada 2024 y con actualización de enlaces en 2026. </w:t>
      </w:r>
      <w:hyperlink r:id="rId70">
        <w:r>
          <w:rPr>
            <w:color w:val="246B8E"/>
            <w:u w:val="single"/>
          </w:rPr>
          <w:t>Guía</w:t>
        </w:r>
      </w:hyperlink>
      <w:r>
        <w:t>.</w:t>
      </w:r>
    </w:p>
    <w:p>
      <w:pPr>
        <w:pStyle w:val="Bibliography"/>
      </w:pPr>
      <w:r>
        <w:t xml:space="preserve">• Spitzer RL, Kroenke K, Williams JBW, Löwe B. A brief measure for assessing generalized anxiety disorder: the GAD-7. </w:t>
      </w:r>
      <w:r>
        <w:rPr>
          <w:i/>
        </w:rPr>
        <w:t>Archives of Internal Medicine</w:t>
      </w:r>
      <w:r>
        <w:t xml:space="preserve">. 2006;166(10):1092–1097. </w:t>
      </w:r>
      <w:hyperlink r:id="rId73">
        <w:r>
          <w:rPr>
            <w:color w:val="246B8E"/>
            <w:u w:val="single"/>
          </w:rPr>
          <w:t>DOI</w:t>
        </w:r>
      </w:hyperlink>
      <w:r>
        <w:t>.</w:t>
      </w:r>
    </w:p>
    <w:p>
      <w:pPr>
        <w:pStyle w:val="Bibliography"/>
      </w:pPr>
      <w:r>
        <w:t xml:space="preserve">• Baldwin DS, Anderson IM, Nutt DJ, et al. Evidence-based pharmacological treatment of anxiety disorders, post-traumatic stress disorder and obsessive-compulsive disorder. </w:t>
      </w:r>
      <w:r>
        <w:rPr>
          <w:i/>
        </w:rPr>
        <w:t>Journal of Psychopharmacology</w:t>
      </w:r>
      <w:r>
        <w:t xml:space="preserve">. 2014;28(5):403–439. </w:t>
      </w:r>
      <w:hyperlink r:id="rId74">
        <w:r>
          <w:rPr>
            <w:color w:val="246B8E"/>
            <w:u w:val="single"/>
          </w:rPr>
          <w:t>DOI</w:t>
        </w:r>
      </w:hyperlink>
      <w:r>
        <w:t>.</w:t>
      </w:r>
    </w:p>
    <w:p>
      <w:r>
        <w:br w:type="page"/>
      </w:r>
    </w:p>
    <w:p>
      <w:pPr>
        <w:spacing w:after="480"/>
      </w:pPr>
      <w:r>
        <w:rPr>
          <w:rFonts w:ascii="Calibri" w:hAnsi="Calibri"/>
          <w:b/>
          <w:color w:val="2A8C82"/>
          <w:sz w:val="20"/>
        </w:rPr>
        <w:t>CAPÍTULO 28 · MATERIAL PARA ESTUDIANTES</w:t>
      </w:r>
    </w:p>
    <w:tbl>
      <w:tblPr>
        <w:tblW w:type="auto" w:w="0"/>
        <w:jc w:val="left"/>
        <w:tblLayout w:type="fixed"/>
        <w:tblLook w:firstColumn="1" w:firstRow="1" w:lastColumn="0" w:lastRow="0" w:noHBand="0" w:noVBand="1" w:val="04A0"/>
      </w:tblPr>
      <w:tblGrid>
        <w:gridCol w:w="9648"/>
      </w:tblGrid>
      <w:tr>
        <w:trPr>
          <w:tblHeader w:val="true"/>
        </w:trPr>
        <w:tc>
          <w:tcPr>
            <w:tcW w:type="dxa" w:w="9072"/>
            <w:shd w:fill="173A5E"/>
            <w:tcMar>
              <w:top w:w="120" w:type="dxa"/>
              <w:start w:w="220" w:type="dxa"/>
              <w:bottom w:w="120" w:type="dxa"/>
              <w:end w:w="220" w:type="dxa"/>
            </w:tcMar>
          </w:tcPr>
          <w:p>
            <w:pPr>
              <w:spacing w:after="0"/>
            </w:pPr>
            <w:r>
              <w:rPr>
                <w:rFonts w:ascii="Calibri" w:hAnsi="Calibri"/>
                <w:b/>
                <w:color w:val="FFFFFF"/>
                <w:sz w:val="19"/>
              </w:rPr>
              <w:t>MÓDULO II · PATOLOGÍAS, GES Y TRATAMIENTOS</w:t>
            </w:r>
          </w:p>
        </w:tc>
      </w:tr>
    </w:tbl>
    <w:p>
      <w:pPr>
        <w:pStyle w:val="Title"/>
        <w:spacing w:before="520" w:after="360"/>
        <w:outlineLvl w:val="0"/>
      </w:pPr>
      <w:bookmarkStart w:id="1028" w:name="chapter_28"/>
      <w:r>
        <w:t>Ansiedad social y fobias específicas</w:t>
      </w:r>
      <w:bookmarkEnd w:id="1028"/>
    </w:p>
    <w:p>
      <w:pPr>
        <w:spacing w:after="80"/>
      </w:pPr>
      <w:r>
        <w:rPr>
          <w:rFonts w:ascii="Calibri" w:hAnsi="Calibri"/>
          <w:b/>
          <w:color w:val="246B8E"/>
          <w:sz w:val="26"/>
        </w:rPr>
        <w:t>Programa de Psiquiatría para internos de Medicina</w:t>
      </w:r>
    </w:p>
    <w:p>
      <w:r>
        <w:rPr>
          <w:rFonts w:ascii="Calibri" w:hAnsi="Calibri"/>
          <w:color w:val="6B7280"/>
          <w:sz w:val="22"/>
        </w:rPr>
        <w:t>Lectura complementaria · Chile · Versión final para revisión humana · 2026</w:t>
      </w:r>
    </w:p>
    <w:p/>
    <w:p/>
    <w:p/>
    <w:p/>
    <w:p/>
    <w:tbl>
      <w:tblPr>
        <w:tblW w:type="auto" w:w="0"/>
        <w:jc w:val="left"/>
        <w:tblLayout w:type="fixed"/>
        <w:tblLook w:firstColumn="1" w:firstRow="1" w:lastColumn="0" w:lastRow="0" w:noHBand="0" w:noVBand="1" w:val="04A0"/>
      </w:tblPr>
      <w:tblGrid>
        <w:gridCol w:w="9648"/>
      </w:tblGrid>
      <w:tr>
        <w:trPr>
          <w:tblHeader w:val="true"/>
        </w:trPr>
        <w:tc>
          <w:tcPr>
            <w:tcW w:type="dxa" w:w="9648"/>
            <w:shd w:fill="F3F5F6"/>
            <w:tcBorders>
              <w:start w:val="single" w:sz="18" w:color="2A8C82"/>
            </w:tcBorders>
            <w:tcMar>
              <w:top w:w="160" w:type="dxa"/>
              <w:start w:w="220" w:type="dxa"/>
              <w:bottom w:w="160" w:type="dxa"/>
              <w:end w:w="220" w:type="dxa"/>
            </w:tcMar>
          </w:tcPr>
          <w:p>
            <w:pPr>
              <w:spacing w:after="0"/>
            </w:pPr>
            <w:r>
              <w:rPr>
                <w:rFonts w:ascii="Calibri" w:hAnsi="Calibri"/>
                <w:i/>
                <w:color w:val="6B7280"/>
                <w:sz w:val="18"/>
              </w:rPr>
              <w:t>Versión docente final para revisión humana. Material propuesto y contextualizado a Chile; no corresponde a un programa oficial de la Pontificia Universidad Católica de Chile ni sustituye protocolos locales, supervisión clínica o evaluación especializada. Fuentes revisadas al 15 de agosto de 2026.</w:t>
            </w:r>
          </w:p>
        </w:tc>
      </w:tr>
    </w:tbl>
    <w:p>
      <w:r>
        <w:br w:type="page"/>
      </w:r>
    </w:p>
    <w:tbl>
      <w:tblPr>
        <w:tblW w:type="auto" w:w="0"/>
        <w:jc w:val="center"/>
        <w:tblLayout w:type="autofit"/>
        <w:tblLook w:firstColumn="1" w:firstRow="1" w:lastColumn="0" w:lastRow="0" w:noHBand="0" w:noVBand="1" w:val="04A0"/>
      </w:tblPr>
      <w:tblGrid>
        <w:gridCol w:w="9648"/>
      </w:tblGrid>
      <w:tr>
        <w:trPr>
          <w:tblHeader w:val="true"/>
        </w:trPr>
        <w:tc>
          <w:tcPr>
            <w:tcW w:type="dxa" w:w="9648"/>
            <w:vAlign w:val="center"/>
            <w:shd w:fill="EAF3F7"/>
            <w:tcBorders>
              <w:start w:val="single" w:sz="14" w:color="2A8C82"/>
            </w:tcBorders>
            <w:tcMar>
              <w:top w:w="130" w:type="dxa"/>
              <w:start w:w="190" w:type="dxa"/>
              <w:bottom w:w="130" w:type="dxa"/>
              <w:end w:w="190" w:type="dxa"/>
            </w:tcMar>
          </w:tcPr>
          <w:p>
            <w:pPr>
              <w:spacing w:after="0"/>
            </w:pPr>
            <w:r>
              <w:rPr>
                <w:b/>
                <w:color w:val="173A5E"/>
              </w:rPr>
              <w:t xml:space="preserve">PREGUNTA CLÍNICA  </w:t>
            </w:r>
            <w:r>
              <w:t>¿Cómo diferenciar timidez o temor proporcionado de una fobia, y por qué evitar casi siempre fortalece el miedo?</w:t>
            </w:r>
          </w:p>
        </w:tc>
      </w:tr>
    </w:tbl>
    <w:p>
      <w:pPr>
        <w:spacing w:after="0"/>
      </w:pPr>
    </w:p>
    <w:tbl>
      <w:tblPr>
        <w:tblW w:type="auto" w:w="0"/>
        <w:jc w:val="center"/>
        <w:tblLayout w:type="autofit"/>
        <w:tblLook w:firstColumn="1" w:firstRow="1" w:lastColumn="0" w:lastRow="0" w:noHBand="0" w:noVBand="1" w:val="04A0"/>
      </w:tblPr>
      <w:tblGrid>
        <w:gridCol w:w="9648"/>
      </w:tblGrid>
      <w:tr>
        <w:trPr>
          <w:tblHeader w:val="true"/>
        </w:trPr>
        <w:tc>
          <w:tcPr>
            <w:tcW w:type="dxa" w:w="9648"/>
            <w:vAlign w:val="center"/>
            <w:shd w:fill="EAF6F3"/>
            <w:tcBorders>
              <w:start w:val="single" w:sz="14" w:color="2A8C82"/>
            </w:tcBorders>
            <w:tcMar>
              <w:top w:w="130" w:type="dxa"/>
              <w:start w:w="190" w:type="dxa"/>
              <w:bottom w:w="130" w:type="dxa"/>
              <w:end w:w="190" w:type="dxa"/>
            </w:tcMar>
          </w:tcPr>
          <w:p>
            <w:pPr>
              <w:spacing w:after="0"/>
            </w:pPr>
            <w:r>
              <w:rPr>
                <w:b/>
                <w:color w:val="173A5E"/>
              </w:rPr>
              <w:t xml:space="preserve">IDEA CENTRAL  </w:t>
            </w:r>
            <w:r>
              <w:t>La ansiedad social y las fobias específicas se organizan alrededor de amenaza anticipada, evitación y deterioro. El tratamiento central es aprendizaje correctivo mediante exposición planificada; sedarse antes de cada situación puede impedir ese aprendizaje.</w:t>
            </w:r>
          </w:p>
        </w:tc>
      </w:tr>
    </w:tbl>
    <w:p>
      <w:pPr>
        <w:spacing w:after="0"/>
      </w:pPr>
    </w:p>
    <w:p>
      <w:pPr>
        <w:pStyle w:val="Heading1"/>
      </w:pPr>
      <w:r>
        <w:t>Por qué importa</w:t>
      </w:r>
    </w:p>
    <w:p>
      <w:r>
        <w:t>Hablar en público, recibir evaluación o acercarse a un animal peligroso pueden producir miedo normal. Medicalizar toda timidez desconoce diferencias temperamentales y culturales; llamar “falta de carácter” a una fobia grave ignora un trastorno tratable. Muchas personas organizan estudios, trabajo y relaciones para no exponerse, por lo que parecen estables sólo porque su mundo se ha estrechado.</w:t>
      </w:r>
    </w:p>
    <w:p>
      <w:r>
        <w:t>El clínico debe identificar qué se teme, cómo se evita, qué conductas de seguridad se utilizan y qué función se ha perdido. La intensidad subjetiva aislada no define el diagnóstico ni el resultado del tratamiento.</w:t>
      </w:r>
    </w:p>
    <w:p>
      <w:pPr>
        <w:pStyle w:val="Heading1"/>
      </w:pPr>
      <w:r>
        <w:t>Objetivos de aprendizaje</w:t>
      </w:r>
    </w:p>
    <w:p>
      <w:pPr>
        <w:keepNext/>
      </w:pPr>
      <w:r>
        <w:t>Al finalizar este capítulo, el estudiante podrá:</w:t>
      </w:r>
    </w:p>
    <w:p>
      <w:pPr>
        <w:spacing w:after="60" w:line="288" w:lineRule="auto"/>
        <w:ind w:left="432" w:hanging="216"/>
      </w:pPr>
      <w:r>
        <w:t>1. Reconocer trastorno de ansiedad social y fobia específica.</w:t>
      </w:r>
    </w:p>
    <w:p>
      <w:pPr>
        <w:spacing w:after="60" w:line="288" w:lineRule="auto"/>
        <w:ind w:left="432" w:hanging="216"/>
      </w:pPr>
      <w:r>
        <w:t>2. Diferenciar ansiedad social de timidez, depresión, TEA y personalidad evitativa.</w:t>
      </w:r>
    </w:p>
    <w:p>
      <w:pPr>
        <w:spacing w:after="60" w:line="288" w:lineRule="auto"/>
        <w:ind w:left="432" w:hanging="216"/>
      </w:pPr>
      <w:r>
        <w:t>3. Distinguir temor a evaluación de agorafobia, pánico, dismorfia y psicosis.</w:t>
      </w:r>
    </w:p>
    <w:p>
      <w:pPr>
        <w:spacing w:after="60" w:line="288" w:lineRule="auto"/>
        <w:ind w:left="432" w:hanging="216"/>
      </w:pPr>
      <w:r>
        <w:t>4. Identificar conductas de seguridad, atención autorreferente y rumiación posterior.</w:t>
      </w:r>
    </w:p>
    <w:p>
      <w:pPr>
        <w:spacing w:after="60" w:line="288" w:lineRule="auto"/>
        <w:ind w:left="432" w:hanging="216"/>
      </w:pPr>
      <w:r>
        <w:t>5. Explicar exposición como aprendizaje planificado, colaborativo y no coercitivo.</w:t>
      </w:r>
    </w:p>
    <w:p>
      <w:pPr>
        <w:spacing w:after="60" w:line="288" w:lineRule="auto"/>
        <w:ind w:left="432" w:hanging="216"/>
      </w:pPr>
      <w:r>
        <w:t>6. Seleccionar el papel de psicoterapia, ISRS, IRSN y betabloqueadores.</w:t>
      </w:r>
    </w:p>
    <w:p>
      <w:pPr>
        <w:spacing w:after="60" w:line="288" w:lineRule="auto"/>
        <w:ind w:left="432" w:hanging="216"/>
      </w:pPr>
      <w:r>
        <w:t>7. Detectar alcohol, benzodiazepinas y adaptaciones que perpetúan evitación.</w:t>
      </w:r>
    </w:p>
    <w:p>
      <w:pPr>
        <w:pStyle w:val="Heading1"/>
      </w:pPr>
      <w:r>
        <w:t>Caso clínico</w:t>
      </w:r>
    </w:p>
    <w:p>
      <w:pPr>
        <w:shd w:fill="EAF3F7"/>
        <w:keepNext/>
        <w:keepLines/>
        <w:pBdr>
          <w:left w:val="single" w:sz="8" w:space="8" w:color="246B8E"/>
        </w:pBdr>
        <w:ind w:left="173" w:right="86"/>
      </w:pPr>
      <w:r>
        <w:t>Sofía, de 26 años y médica recién egresada, evita presentar casos porque teme que otros noten su rubor y concluyan que es incompetente. Antes de reuniones toma alcohol y, a veces, propranolol prestado. Lee diapositivas sin mirar al público, ensaya cada frase y después revisa durante horas cualquier vacilación. Conversa con normalidad con personas de confianza y desea postular a una residencia, pero ya rechazó dos entrevistas.</w:t>
      </w:r>
    </w:p>
    <w:p>
      <w:pPr>
        <w:shd w:fill="EAF3F7"/>
        <w:keepLines/>
        <w:pBdr>
          <w:left w:val="single" w:sz="8" w:space="8" w:color="246B8E"/>
        </w:pBdr>
        <w:ind w:left="173" w:right="86"/>
      </w:pPr>
      <w:r>
        <w:t>El alcohol, el fármaco, la lectura rígida y el sobreensayo reducen ansiedad inmediata. También impiden que Sofía descubra si puede tolerar el rubor, improvisar y ser evaluada de manera menos catastrófica de lo que anticipa.</w:t>
      </w:r>
    </w:p>
    <w:p>
      <w:pPr>
        <w:pStyle w:val="Heading1"/>
      </w:pPr>
      <w:r>
        <w:t>Ansiedad social: más que timidez</w:t>
      </w:r>
    </w:p>
    <w:p>
      <w:r>
        <w:t>El trastorno de ansiedad social se caracteriza por miedo intenso en situaciones donde la persona puede ser observada o evaluada. Teme actuar de una forma o mostrar síntomas que produzcan humillación, rechazo u ofensa. Las situaciones casi siempre generan ansiedad y se evitan o soportan con intenso malestar. El temor es desproporcionado al riesgo sociocultural, persiste —en DSM-5-TR, habitualmente seis meses o más— y deteriora función.</w:t>
      </w:r>
    </w:p>
    <w:p>
      <w:r>
        <w:t>La timidez es un rasgo frecuente. Puede generar incomodidad sin impedir relaciones, trabajo o decisiones relevantes. El umbral clínico depende de persistencia, evitación, sufrimiento y oportunidades perdidas. También exige contexto: un temor a equivocarse durante una evaluación decisiva puede ser proporcionado; el mismo temor frente a cualquier conversación cotidiana puede no serlo.</w:t>
      </w:r>
    </w:p>
    <w:p>
      <w:r>
        <w:t>DSM-5-TR incluye un especificador “sólo actuación” cuando el temor se restringe a hablar o actuar en público. La amplitud situacional sigue siendo útil para formular gravedad, aunque “generalizada” no sea un especificador DSM actual. El insight puede variar: reconocer exageración no es requisito absoluto y estar convencido de que el rubor es visible no equivale automáticamente a delirio.</w:t>
      </w:r>
    </w:p>
    <w:p>
      <w:pPr>
        <w:pStyle w:val="Heading1"/>
      </w:pPr>
      <w:r>
        <w:t>El ciclo de mantenimiento</w:t>
      </w:r>
    </w:p>
    <w:p>
      <w:r>
        <w:t>Antes de una situación aparecen predicciones: “quedaré en blanco”, “se darán cuenta”, “será imperdonable”. Durante ella, la atención se dirige al propio pulso, voz, rubor y supuestos errores. La persona usa una imagen interna de cómo cree que la ven como si fuera evidencia objetiva.</w:t>
      </w:r>
    </w:p>
    <w:p>
      <w:r>
        <w:t xml:space="preserve">Las </w:t>
      </w:r>
      <w:r>
        <w:rPr>
          <w:b/>
        </w:rPr>
        <w:t>conductas de seguridad</w:t>
      </w:r>
      <w:r>
        <w:t xml:space="preserve"> incluyen memorizar cada frase, hablar poco, ocultar manos, evitar contacto visual, usar alcohol, tomar propranolol o preparar explicaciones para retirarse. Si no ocurre la catástrofe, se atribuye a esas medidas: “salió bien porque bebí”. Después aparece rumiación selectiva, que amplifica vacilaciones y olvida señales neutrales o positivas.</w:t>
      </w:r>
    </w:p>
    <w:p>
      <w:r>
        <w:t>Este modelo no implica que toda evaluación social sea imaginaria. Puede existir discriminación, hostigamiento o déficit de habilidades. La intervención debe abordar el ambiente y enseñar habilidades cuando sea necesario, además de reducir el miedo aprendido.</w:t>
      </w:r>
    </w:p>
    <w:p>
      <w:pPr>
        <w:pStyle w:val="Heading1"/>
      </w:pPr>
      <w:r>
        <w:t>Diagnóstico diferencial</w:t>
      </w:r>
    </w:p>
    <w:p>
      <w:r>
        <w:t>En depresión, el aislamiento puede provenir de anhedonia, fatiga o desesperanza. En personalidad evitativa existe un patrón más amplio y persistente de inhibición, inferioridad e hipersensibilidad al rechazo; puede coexistir con ansiedad social y requiere evaluación longitudinal.</w:t>
      </w:r>
    </w:p>
    <w:p>
      <w:r>
        <w:t>En el trastorno del espectro autista (</w:t>
      </w:r>
      <w:r>
        <w:rPr>
          <w:b/>
        </w:rPr>
        <w:t>TEA</w:t>
      </w:r>
      <w:r>
        <w:t>) se buscan diferencias del neurodesarrollo en comunicación social, intereses, flexibilidad y sensibilidad sensorial, presentes desde etapas tempranas. Una persona autista también puede desarrollar miedo secundario a evaluación; no debe suponerse que toda dificultad social es ansiedad ni que ambas condiciones se excluyen.</w:t>
      </w:r>
    </w:p>
    <w:p>
      <w:r>
        <w:t>En dismorfia corporal, el escrutinio temido se centra en un supuesto defecto físico. En psicosis puede existir convicción delirante de que otros observan o comentan. En pánico y agorafobia predomina temor a síntomas incapacitantes o dificultad de escape; en ansiedad social, a la evaluación. Las fronteras pueden solaparse y deben formularse por función.</w:t>
      </w:r>
    </w:p>
    <w:p>
      <w:pPr>
        <w:pStyle w:val="Heading1"/>
      </w:pPr>
      <w:r>
        <w:t>Fobias específicas</w:t>
      </w:r>
    </w:p>
    <w:p>
      <w:r>
        <w:t>Una fobia específica es un temor marcado y persistente a un objeto o situación delimitada, con respuesta casi inmediata, evitación y desproporción respecto del peligro sociocultural. DSM-5-TR exige persistencia habitual de seis meses o más; CIE-11 utiliza su propia formulación temporal. Entre los patrones se incluyen animales, entorno natural, sangre-inyección-daño, situaciones —como volar o espacios cerrados— y otros estímulos.</w:t>
      </w:r>
    </w:p>
    <w:p>
      <w:r>
        <w:t xml:space="preserve">En el patrón sangre-inyección-daño puede existir una respuesta bifásica con caída de presión y síncope vasovagal. La </w:t>
      </w:r>
      <w:r>
        <w:rPr>
          <w:b/>
        </w:rPr>
        <w:t>tensión aplicada</w:t>
      </w:r>
      <w:r>
        <w:t xml:space="preserve"> —contraer grandes grupos musculares para elevar la presión— puede incorporarse al tratamiento bajo indicación apropiada. Esto difiere de hiperventilar o “resistir” una extracción sin preparación.</w:t>
      </w:r>
    </w:p>
    <w:p>
      <w:r>
        <w:t>El diferencial incluye trastorno por estrés postraumático cuando el miedo se vincula a trauma, TOC si la evitación neutraliza obsesiones, ansiedad por enfermedad, agorafobia y temor proporcionado por riesgo médico. Los exámenes complementarios rara vez diagnostican una fobia; la historia funcional es central.</w:t>
      </w:r>
    </w:p>
    <w:p>
      <w:pPr>
        <w:pStyle w:val="Heading1"/>
      </w:pPr>
      <w:r>
        <w:t>Evaluación clínica</w:t>
      </w:r>
    </w:p>
    <w:p>
      <w:r>
        <w:t>Se registran situaciones temidas, predicciones, intensidad, evitación, conductas de seguridad y costo funcional. La escala de ansiedad social de Liebowitz u otros instrumentos pueden apoyar cuantificación, pero no sustituyen diagnóstico ni contexto cultural. Se buscan depresión, suicidalidad, consumo, trauma, otras ansiedades y automedicación.</w:t>
      </w:r>
    </w:p>
    <w:p>
      <w:r>
        <w:t>En Sofía es indispensable precisar dosis y frecuencia de propranolol, alcohol, asma, bradicardia, hipotensión, diabetes y otros medicamentos. Que el fármaco sea de uso frecuente en ciertos escenarios no vuelve segura una prescripción prestada.</w:t>
      </w:r>
    </w:p>
    <w:p>
      <w:pPr>
        <w:pStyle w:val="Heading1"/>
      </w:pPr>
      <w:r>
        <w:t>Exposición y terapia cognitivo-conductual</w:t>
      </w:r>
    </w:p>
    <w:p>
      <w:r>
        <w:t>La terapia cognitivo-conductual individual específica para ansiedad social integra exposición, reducción de atención autorreferente y conductas de seguridad, experimentos conductuales y revisión de creencias. La terapia grupal puede ser útil, pero no debe presentarse como obligatoria para “vencer la vergüenza”.</w:t>
      </w:r>
    </w:p>
    <w:p>
      <w:r>
        <w:t>La exposición es gradual o intensiva según el caso, repetida y acordada. No busca eliminar ansiedad antes de actuar, sino aprender que puede tolerarse, que las predicciones no siempre se cumplen y que la persona posee más opciones de respuesta. El aprendizaje mejora cuando varían contextos y se evita convertir una técnica de calma en condición para exponerse.</w:t>
      </w:r>
    </w:p>
    <w:p>
      <w:r>
        <w:t>En fobia específica, la exposición en vivo suele ser el tratamiento de elección y puede ser relativamente breve, pero debe tener formulación, consentimiento y condiciones de seguridad. Realidad virtual puede ampliar acceso para algunos estímulos. Una inundación impuesta o una “broma” con el objeto temido no es terapia; es una forma bastante eficiente de perder al paciente.</w:t>
      </w:r>
    </w:p>
    <w:p>
      <w:pPr>
        <w:pStyle w:val="Heading1"/>
      </w:pPr>
      <w:r>
        <w:t>Papel de los fármacos</w:t>
      </w:r>
    </w:p>
    <w:p>
      <w:r>
        <w:t>En ansiedad social persistente y deteriorante, los inhibidores selectivos de recaptación de serotonina (</w:t>
      </w:r>
      <w:r>
        <w:rPr>
          <w:b/>
        </w:rPr>
        <w:t>ISRS</w:t>
      </w:r>
      <w:r>
        <w:t>) y algunos inhibidores de recaptación de serotonina y noradrenalina (</w:t>
      </w:r>
      <w:r>
        <w:rPr>
          <w:b/>
        </w:rPr>
        <w:t>IRSN</w:t>
      </w:r>
      <w:r>
        <w:t>) cuentan con evidencia. Se explican latencia, efectos adversos, titulación y retiro gradual. La elección se integra con TCC, comorbilidad y preferencia.</w:t>
      </w:r>
    </w:p>
    <w:p>
      <w:r>
        <w:t>Propranolol puede disminuir temblor y taquicardia en desempeño puntual seleccionado, pero no modifica el temor a evaluación ni trata la ansiedad social amplia. Su uso es individual y exige revisar contraindicaciones, interacciones y la posibilidad de convertirse en conducta de seguridad. No debe compartirse ni indicarse automáticamente.</w:t>
      </w:r>
    </w:p>
    <w:p>
      <w:r>
        <w:t>Las benzodiazepinas no son primera línea: pueden producir dependencia, deteriorar desempeño y hacer que el éxito se atribuya al sedante. En fobia específica no existe farmacoterapia rutinaria; sedarse para cada vuelo, procedimiento o animal mantiene dependencia y añade riesgo. Si un procedimiento médico urgente requiere sedación, esa es una decisión médica distinta del tratamiento de la fobia.</w:t>
      </w:r>
    </w:p>
    <w:p>
      <w:pPr>
        <w:pStyle w:val="Heading2"/>
      </w:pPr>
      <w:r>
        <w:t>Función y seguimiento</w:t>
      </w:r>
    </w:p>
    <w:p>
      <w:r>
        <w:t>El resultado se mide por situaciones recuperadas, elecciones, consumo y capacidad de actuar con ansiedad, no sólo por un número menor antes de exponerse. Adaptaciones académicas o laborales pueden ser razonables y temporales, especialmente mientras comienza tratamiento, pero se revisan para evitar consolidar una vida enteramente organizada por evitación.</w:t>
      </w:r>
    </w:p>
    <w:p>
      <w:r>
        <w:t>En Sofía, el eje es TCC con exposición a presentaciones y entrevistas, disminución planificada de conductas de seguridad y evaluación del alcohol. Un ISRS o IRSN puede considerarse si el cuadro es amplio o grave. El propranolol requiere una indicación clínica propia, no una genealogía farmacológica que comienza en “me lo prestó un colega”.</w:t>
      </w:r>
    </w:p>
    <w:p>
      <w:pPr>
        <w:pStyle w:val="Heading1"/>
      </w:pPr>
      <w:r>
        <w:t>Errores frecuentes</w:t>
      </w:r>
    </w:p>
    <w:p>
      <w:pPr>
        <w:pStyle w:val="ListBullet"/>
      </w:pPr>
      <w:r>
        <w:t>Medicalizar toda timidez o ignorar el contexto cultural y ambiental.</w:t>
      </w:r>
    </w:p>
    <w:p>
      <w:pPr>
        <w:pStyle w:val="ListBullet"/>
      </w:pPr>
      <w:r>
        <w:t>Confundir ansiedad social con TEA, falta de habilidades o personalidad evitativa.</w:t>
      </w:r>
    </w:p>
    <w:p>
      <w:pPr>
        <w:pStyle w:val="ListBullet"/>
      </w:pPr>
      <w:r>
        <w:t>Recomendar alcohol o benzodiazepina para presentaciones.</w:t>
      </w:r>
    </w:p>
    <w:p>
      <w:pPr>
        <w:pStyle w:val="ListBullet"/>
      </w:pPr>
      <w:r>
        <w:t>Prescribir propranolol sin evaluación ni contraindicaciones.</w:t>
      </w:r>
    </w:p>
    <w:p>
      <w:pPr>
        <w:pStyle w:val="ListBullet"/>
      </w:pPr>
      <w:r>
        <w:t>Usar fármacos como tratamiento rutinario de fobia específica.</w:t>
      </w:r>
    </w:p>
    <w:p>
      <w:pPr>
        <w:pStyle w:val="ListBullet"/>
      </w:pPr>
      <w:r>
        <w:t>Forzar exposición sin consentimiento, formulación ni seguridad.</w:t>
      </w:r>
    </w:p>
    <w:p>
      <w:pPr>
        <w:pStyle w:val="ListBullet"/>
      </w:pPr>
      <w:r>
        <w:t>Medir éxito sólo por intensidad de ansiedad, sin función recuperada.</w:t>
      </w:r>
    </w:p>
    <w:p>
      <w:pPr>
        <w:pStyle w:val="Heading1"/>
      </w:pPr>
      <w:r>
        <w:t>Para recordar</w:t>
      </w:r>
    </w:p>
    <w:p>
      <w:pPr>
        <w:spacing w:after="60" w:line="288" w:lineRule="auto"/>
        <w:ind w:left="432" w:hanging="216"/>
        <w:shd w:fill="EAF6F3"/>
        <w:keepNext/>
        <w:keepLines/>
        <w:pBdr>
          <w:left w:val="single" w:sz="8" w:space="8" w:color="2A8C82"/>
        </w:pBdr>
      </w:pPr>
      <w:r>
        <w:t>1. El diagnóstico depende de temor específico, evitación, persistencia y deterioro.</w:t>
      </w:r>
    </w:p>
    <w:p>
      <w:pPr>
        <w:spacing w:after="60" w:line="288" w:lineRule="auto"/>
        <w:ind w:left="432" w:hanging="216"/>
        <w:shd w:fill="EAF6F3"/>
        <w:keepNext/>
        <w:keepLines/>
        <w:pBdr>
          <w:left w:val="single" w:sz="8" w:space="8" w:color="2A8C82"/>
        </w:pBdr>
      </w:pPr>
      <w:r>
        <w:t>2. Atención autorreferente, rumiación y conductas de seguridad mantienen ansiedad social.</w:t>
      </w:r>
    </w:p>
    <w:p>
      <w:pPr>
        <w:spacing w:after="60" w:line="288" w:lineRule="auto"/>
        <w:ind w:left="432" w:hanging="216"/>
        <w:shd w:fill="EAF6F3"/>
        <w:keepNext/>
        <w:keepLines/>
        <w:pBdr>
          <w:left w:val="single" w:sz="8" w:space="8" w:color="2A8C82"/>
        </w:pBdr>
      </w:pPr>
      <w:r>
        <w:t>3. Exposición significa aprendizaje colaborativo, no sufrimiento por heroísmo.</w:t>
      </w:r>
    </w:p>
    <w:p>
      <w:pPr>
        <w:spacing w:after="60" w:line="288" w:lineRule="auto"/>
        <w:ind w:left="432" w:hanging="216"/>
        <w:shd w:fill="EAF6F3"/>
        <w:keepNext/>
        <w:keepLines/>
        <w:pBdr>
          <w:left w:val="single" w:sz="8" w:space="8" w:color="2A8C82"/>
        </w:pBdr>
      </w:pPr>
      <w:r>
        <w:t>4. Los fármacos tienen un papel en ansiedad social, pero no son tratamiento rutinario de fobia específica.</w:t>
      </w:r>
    </w:p>
    <w:p>
      <w:pPr>
        <w:spacing w:after="60" w:line="288" w:lineRule="auto"/>
        <w:ind w:left="432" w:hanging="216"/>
        <w:shd w:fill="EAF6F3"/>
        <w:keepLines/>
        <w:pBdr>
          <w:left w:val="single" w:sz="8" w:space="8" w:color="2A8C82"/>
        </w:pBdr>
      </w:pPr>
      <w:r>
        <w:t>5. Recuperación significa volver a elegir incluso cuando aparece ansiedad.</w:t>
      </w:r>
    </w:p>
    <w:p>
      <w:pPr>
        <w:pStyle w:val="Heading1"/>
      </w:pPr>
      <w:r>
        <w:t>Bibliografía esencial</w:t>
      </w:r>
    </w:p>
    <w:p>
      <w:pPr>
        <w:pStyle w:val="Bibliography"/>
      </w:pPr>
      <w:r>
        <w:t xml:space="preserve">• American Psychiatric Association. </w:t>
      </w:r>
      <w:r>
        <w:rPr>
          <w:i/>
        </w:rPr>
        <w:t>Diagnostic and Statistical Manual of Mental Disorders: DSM-5-TR</w:t>
      </w:r>
      <w:r>
        <w:t xml:space="preserve">. American Psychiatric Association Publishing; 2022. </w:t>
      </w:r>
      <w:hyperlink r:id="rId49">
        <w:r>
          <w:rPr>
            <w:color w:val="246B8E"/>
            <w:u w:val="single"/>
          </w:rPr>
          <w:t>DOI</w:t>
        </w:r>
      </w:hyperlink>
      <w:r>
        <w:t>.</w:t>
      </w:r>
    </w:p>
    <w:p>
      <w:pPr>
        <w:pStyle w:val="Bibliography"/>
      </w:pPr>
      <w:r>
        <w:t xml:space="preserve">• World Health Organization. </w:t>
      </w:r>
      <w:r>
        <w:rPr>
          <w:i/>
        </w:rPr>
        <w:t>Clinical Descriptions and Diagnostic Requirements for ICD-11 Mental, Behavioural and Neurodevelopmental Disorders</w:t>
      </w:r>
      <w:r>
        <w:t xml:space="preserve">. 2024. </w:t>
      </w:r>
      <w:hyperlink r:id="rId69">
        <w:r>
          <w:rPr>
            <w:color w:val="246B8E"/>
            <w:u w:val="single"/>
          </w:rPr>
          <w:t>Publicación oficial</w:t>
        </w:r>
      </w:hyperlink>
      <w:r>
        <w:t>.</w:t>
      </w:r>
    </w:p>
    <w:p>
      <w:pPr>
        <w:pStyle w:val="Bibliography"/>
      </w:pPr>
      <w:r>
        <w:t xml:space="preserve">• National Institute for Health and Care Excellence. </w:t>
      </w:r>
      <w:r>
        <w:rPr>
          <w:i/>
        </w:rPr>
        <w:t>Social anxiety disorder: recognition, assessment and treatment</w:t>
      </w:r>
      <w:r>
        <w:t xml:space="preserve">. CG159; 2013. </w:t>
      </w:r>
      <w:hyperlink r:id="rId75">
        <w:r>
          <w:rPr>
            <w:color w:val="246B8E"/>
            <w:u w:val="single"/>
          </w:rPr>
          <w:t>Guía</w:t>
        </w:r>
      </w:hyperlink>
      <w:r>
        <w:t>.</w:t>
      </w:r>
    </w:p>
    <w:p>
      <w:pPr>
        <w:pStyle w:val="Bibliography"/>
      </w:pPr>
      <w:r>
        <w:t xml:space="preserve">• Mayo-Wilson E, Dias S, Mavranezouli I, et al. Psychological and pharmacological interventions for social anxiety disorder in adults: a systematic review and network meta-analysis. </w:t>
      </w:r>
      <w:r>
        <w:rPr>
          <w:i/>
        </w:rPr>
        <w:t>Lancet Psychiatry</w:t>
      </w:r>
      <w:r>
        <w:t xml:space="preserve">. 2014;1(5):368–376. </w:t>
      </w:r>
      <w:hyperlink r:id="rId76">
        <w:r>
          <w:rPr>
            <w:color w:val="246B8E"/>
            <w:u w:val="single"/>
          </w:rPr>
          <w:t>DOI</w:t>
        </w:r>
      </w:hyperlink>
      <w:r>
        <w:t>.</w:t>
      </w:r>
    </w:p>
    <w:p>
      <w:pPr>
        <w:pStyle w:val="Bibliography"/>
      </w:pPr>
      <w:r>
        <w:t xml:space="preserve">• Craske MG, Treanor M, Conway CC, Zbozinek T, Vervliet B. Maximizing exposure therapy: an inhibitory learning approach. </w:t>
      </w:r>
      <w:r>
        <w:rPr>
          <w:i/>
        </w:rPr>
        <w:t>Behaviour Research and Therapy</w:t>
      </w:r>
      <w:r>
        <w:t xml:space="preserve">. 2014;58:10–23. </w:t>
      </w:r>
      <w:hyperlink r:id="rId77">
        <w:r>
          <w:rPr>
            <w:color w:val="246B8E"/>
            <w:u w:val="single"/>
          </w:rPr>
          <w:t>DOI</w:t>
        </w:r>
      </w:hyperlink>
      <w:r>
        <w:t>.</w:t>
      </w:r>
    </w:p>
    <w:p>
      <w:r>
        <w:br w:type="page"/>
      </w:r>
    </w:p>
    <w:p>
      <w:pPr>
        <w:spacing w:after="480"/>
      </w:pPr>
      <w:r>
        <w:rPr>
          <w:rFonts w:ascii="Calibri" w:hAnsi="Calibri"/>
          <w:b/>
          <w:color w:val="2A8C82"/>
          <w:sz w:val="20"/>
        </w:rPr>
        <w:t>CAPÍTULO 29 · MATERIAL PARA ESTUDIANTES</w:t>
      </w:r>
    </w:p>
    <w:tbl>
      <w:tblPr>
        <w:tblW w:type="auto" w:w="0"/>
        <w:jc w:val="left"/>
        <w:tblLayout w:type="fixed"/>
        <w:tblLook w:firstColumn="1" w:firstRow="1" w:lastColumn="0" w:lastRow="0" w:noHBand="0" w:noVBand="1" w:val="04A0"/>
      </w:tblPr>
      <w:tblGrid>
        <w:gridCol w:w="9648"/>
      </w:tblGrid>
      <w:tr>
        <w:trPr>
          <w:tblHeader w:val="true"/>
        </w:trPr>
        <w:tc>
          <w:tcPr>
            <w:tcW w:type="dxa" w:w="9072"/>
            <w:shd w:fill="173A5E"/>
            <w:tcMar>
              <w:top w:w="120" w:type="dxa"/>
              <w:start w:w="220" w:type="dxa"/>
              <w:bottom w:w="120" w:type="dxa"/>
              <w:end w:w="220" w:type="dxa"/>
            </w:tcMar>
          </w:tcPr>
          <w:p>
            <w:pPr>
              <w:spacing w:after="0"/>
            </w:pPr>
            <w:r>
              <w:rPr>
                <w:rFonts w:ascii="Calibri" w:hAnsi="Calibri"/>
                <w:b/>
                <w:color w:val="FFFFFF"/>
                <w:sz w:val="19"/>
              </w:rPr>
              <w:t>MÓDULO II · PATOLOGÍAS, GES Y TRATAMIENTOS</w:t>
            </w:r>
          </w:p>
        </w:tc>
      </w:tr>
    </w:tbl>
    <w:p>
      <w:pPr>
        <w:pStyle w:val="Title"/>
        <w:spacing w:before="520" w:after="360"/>
        <w:outlineLvl w:val="0"/>
      </w:pPr>
      <w:bookmarkStart w:id="1029" w:name="chapter_29"/>
      <w:r>
        <w:t>Trastorno obsesivo-compulsivo y trastornos relacionados</w:t>
      </w:r>
      <w:bookmarkEnd w:id="1029"/>
    </w:p>
    <w:p>
      <w:pPr>
        <w:spacing w:after="80"/>
      </w:pPr>
      <w:r>
        <w:rPr>
          <w:rFonts w:ascii="Calibri" w:hAnsi="Calibri"/>
          <w:b/>
          <w:color w:val="246B8E"/>
          <w:sz w:val="26"/>
        </w:rPr>
        <w:t>Programa de Psiquiatría para internos de Medicina</w:t>
      </w:r>
    </w:p>
    <w:p>
      <w:r>
        <w:rPr>
          <w:rFonts w:ascii="Calibri" w:hAnsi="Calibri"/>
          <w:color w:val="6B7280"/>
          <w:sz w:val="22"/>
        </w:rPr>
        <w:t>Lectura complementaria · Chile · Versión final para revisión humana · 2026</w:t>
      </w:r>
    </w:p>
    <w:p/>
    <w:p/>
    <w:p/>
    <w:p/>
    <w:p/>
    <w:tbl>
      <w:tblPr>
        <w:tblW w:type="auto" w:w="0"/>
        <w:jc w:val="left"/>
        <w:tblLayout w:type="fixed"/>
        <w:tblLook w:firstColumn="1" w:firstRow="1" w:lastColumn="0" w:lastRow="0" w:noHBand="0" w:noVBand="1" w:val="04A0"/>
      </w:tblPr>
      <w:tblGrid>
        <w:gridCol w:w="9648"/>
      </w:tblGrid>
      <w:tr>
        <w:trPr>
          <w:tblHeader w:val="true"/>
        </w:trPr>
        <w:tc>
          <w:tcPr>
            <w:tcW w:type="dxa" w:w="9648"/>
            <w:shd w:fill="F3F5F6"/>
            <w:tcBorders>
              <w:start w:val="single" w:sz="18" w:color="2A8C82"/>
            </w:tcBorders>
            <w:tcMar>
              <w:top w:w="160" w:type="dxa"/>
              <w:start w:w="220" w:type="dxa"/>
              <w:bottom w:w="160" w:type="dxa"/>
              <w:end w:w="220" w:type="dxa"/>
            </w:tcMar>
          </w:tcPr>
          <w:p>
            <w:pPr>
              <w:spacing w:after="0"/>
            </w:pPr>
            <w:r>
              <w:rPr>
                <w:rFonts w:ascii="Calibri" w:hAnsi="Calibri"/>
                <w:i/>
                <w:color w:val="6B7280"/>
                <w:sz w:val="18"/>
              </w:rPr>
              <w:t>Versión docente final para revisión humana. Material propuesto y contextualizado a Chile; no corresponde a un programa oficial de la Pontificia Universidad Católica de Chile ni sustituye protocolos locales, supervisión clínica o evaluación especializada. Fuentes revisadas al 15 de agosto de 2026.</w:t>
            </w:r>
          </w:p>
        </w:tc>
      </w:tr>
    </w:tbl>
    <w:p>
      <w:r>
        <w:br w:type="page"/>
      </w:r>
    </w:p>
    <w:tbl>
      <w:tblPr>
        <w:tblW w:type="auto" w:w="0"/>
        <w:jc w:val="center"/>
        <w:tblLayout w:type="autofit"/>
        <w:tblLook w:firstColumn="1" w:firstRow="1" w:lastColumn="0" w:lastRow="0" w:noHBand="0" w:noVBand="1" w:val="04A0"/>
      </w:tblPr>
      <w:tblGrid>
        <w:gridCol w:w="9648"/>
      </w:tblGrid>
      <w:tr>
        <w:trPr>
          <w:tblHeader w:val="true"/>
        </w:trPr>
        <w:tc>
          <w:tcPr>
            <w:tcW w:type="dxa" w:w="9648"/>
            <w:vAlign w:val="center"/>
            <w:shd w:fill="EAF3F7"/>
            <w:tcBorders>
              <w:start w:val="single" w:sz="14" w:color="2A8C82"/>
            </w:tcBorders>
            <w:tcMar>
              <w:top w:w="130" w:type="dxa"/>
              <w:start w:w="190" w:type="dxa"/>
              <w:bottom w:w="130" w:type="dxa"/>
              <w:end w:w="190" w:type="dxa"/>
            </w:tcMar>
          </w:tcPr>
          <w:p>
            <w:pPr>
              <w:spacing w:after="0"/>
            </w:pPr>
            <w:r>
              <w:rPr>
                <w:b/>
                <w:color w:val="173A5E"/>
              </w:rPr>
              <w:t xml:space="preserve">PREGUNTA CLÍNICA  </w:t>
            </w:r>
            <w:r>
              <w:t>¿Cómo distinguir una obsesión de una preocupación o un delirio, y por qué el alivio inmediato de la compulsión mantiene el trastorno obsesivo-compulsivo?</w:t>
            </w:r>
          </w:p>
        </w:tc>
      </w:tr>
    </w:tbl>
    <w:p>
      <w:pPr>
        <w:spacing w:after="0"/>
      </w:pPr>
    </w:p>
    <w:tbl>
      <w:tblPr>
        <w:tblW w:type="auto" w:w="0"/>
        <w:jc w:val="center"/>
        <w:tblLayout w:type="autofit"/>
        <w:tblLook w:firstColumn="1" w:firstRow="1" w:lastColumn="0" w:lastRow="0" w:noHBand="0" w:noVBand="1" w:val="04A0"/>
      </w:tblPr>
      <w:tblGrid>
        <w:gridCol w:w="9648"/>
      </w:tblGrid>
      <w:tr>
        <w:trPr>
          <w:tblHeader w:val="true"/>
        </w:trPr>
        <w:tc>
          <w:tcPr>
            <w:tcW w:type="dxa" w:w="9648"/>
            <w:vAlign w:val="center"/>
            <w:shd w:fill="EAF6F3"/>
            <w:tcBorders>
              <w:start w:val="single" w:sz="14" w:color="2A8C82"/>
            </w:tcBorders>
            <w:tcMar>
              <w:top w:w="130" w:type="dxa"/>
              <w:start w:w="190" w:type="dxa"/>
              <w:bottom w:w="130" w:type="dxa"/>
              <w:end w:w="190" w:type="dxa"/>
            </w:tcMar>
          </w:tcPr>
          <w:p>
            <w:pPr>
              <w:spacing w:after="0"/>
            </w:pPr>
            <w:r>
              <w:rPr>
                <w:b/>
                <w:color w:val="173A5E"/>
              </w:rPr>
              <w:t xml:space="preserve">IDEA CENTRAL  </w:t>
            </w:r>
            <w:r>
              <w:t>El TOC funciona como un circuito de intrusión, amenaza, neutralización y alivio breve. El tratamiento interrumpe ese aprendizaje mediante exposición con prevención de respuesta y, cuando corresponde, farmacoterapia serotoninérgica suficientemente dosificada y prolongada.</w:t>
            </w:r>
          </w:p>
        </w:tc>
      </w:tr>
    </w:tbl>
    <w:p>
      <w:pPr>
        <w:spacing w:after="0"/>
      </w:pPr>
    </w:p>
    <w:p>
      <w:pPr>
        <w:pStyle w:val="Heading1"/>
      </w:pPr>
      <w:r>
        <w:t>Por qué importa</w:t>
      </w:r>
    </w:p>
    <w:p>
      <w:r>
        <w:t>El contenido obsesivo puede ser agresivo, sexual, religioso o moral y provocar gran vergüenza. Si el clínico confunde una imagen egodistónica con deseo de actuar, puede alarmar injustificadamente; si asume que toda idea intrusiva es “sólo TOC”, puede omitir riesgo coexistente. También es frecuente no detectar rituales mentales, participar en reaseguro compulsivo o declarar fracaso farmacológico tras pocas semanas.</w:t>
      </w:r>
    </w:p>
    <w:p>
      <w:r>
        <w:t>El trastorno obsesivo-compulsivo (</w:t>
      </w:r>
      <w:r>
        <w:rPr>
          <w:b/>
        </w:rPr>
        <w:t>TOC</w:t>
      </w:r>
      <w:r>
        <w:t>) puede consumir muchas horas, lesionar la piel, impedir alimentación o volver inhabitable un hogar. Su gravedad no se mide por lo extraño del ritual, sino por sufrimiento, tiempo, evitación, acomodación y deterioro.</w:t>
      </w:r>
    </w:p>
    <w:p>
      <w:pPr>
        <w:pStyle w:val="Heading1"/>
      </w:pPr>
      <w:r>
        <w:t>Objetivos de aprendizaje</w:t>
      </w:r>
    </w:p>
    <w:p>
      <w:pPr>
        <w:keepNext/>
      </w:pPr>
      <w:r>
        <w:t>Al finalizar este capítulo, el estudiante podrá:</w:t>
      </w:r>
    </w:p>
    <w:p>
      <w:pPr>
        <w:spacing w:after="60" w:line="288" w:lineRule="auto"/>
        <w:ind w:left="432" w:hanging="216"/>
      </w:pPr>
      <w:r>
        <w:t>1. Reconocer obsesiones, compulsiones visibles y rituales mentales.</w:t>
      </w:r>
    </w:p>
    <w:p>
      <w:pPr>
        <w:spacing w:after="60" w:line="288" w:lineRule="auto"/>
        <w:ind w:left="432" w:hanging="216"/>
      </w:pPr>
      <w:r>
        <w:t>2. Evaluar insight, tiempo consumido, evitación, interferencia y riesgo.</w:t>
      </w:r>
    </w:p>
    <w:p>
      <w:pPr>
        <w:spacing w:after="60" w:line="288" w:lineRule="auto"/>
        <w:ind w:left="432" w:hanging="216"/>
      </w:pPr>
      <w:r>
        <w:t>3. Diferenciar TOC de psicosis, TAG, depresión, personalidad obsesivo-compulsiva, TEA y tics.</w:t>
      </w:r>
    </w:p>
    <w:p>
      <w:pPr>
        <w:spacing w:after="60" w:line="288" w:lineRule="auto"/>
        <w:ind w:left="432" w:hanging="216"/>
      </w:pPr>
      <w:r>
        <w:t>4. Reconocer dismorfia corporal, acumulación, tricotilomanía y excoriación.</w:t>
      </w:r>
    </w:p>
    <w:p>
      <w:pPr>
        <w:spacing w:after="60" w:line="288" w:lineRule="auto"/>
        <w:ind w:left="432" w:hanging="216"/>
      </w:pPr>
      <w:r>
        <w:t>5. Explicar exposición con prevención de respuesta y acomodación familiar.</w:t>
      </w:r>
    </w:p>
    <w:p>
      <w:pPr>
        <w:spacing w:after="60" w:line="288" w:lineRule="auto"/>
        <w:ind w:left="432" w:hanging="216"/>
      </w:pPr>
      <w:r>
        <w:t>6. Utilizar ISRS y clomipramina con una duración y monitorización apropiadas.</w:t>
      </w:r>
    </w:p>
    <w:p>
      <w:pPr>
        <w:spacing w:after="60" w:line="288" w:lineRule="auto"/>
        <w:ind w:left="432" w:hanging="216"/>
      </w:pPr>
      <w:r>
        <w:t>7. Evitar reaseguro, exposición improvisada y confusión entre pensamiento tabú e intención.</w:t>
      </w:r>
    </w:p>
    <w:p>
      <w:pPr>
        <w:pStyle w:val="Heading1"/>
      </w:pPr>
      <w:r>
        <w:t>Caso clínico</w:t>
      </w:r>
    </w:p>
    <w:p>
      <w:pPr>
        <w:shd w:fill="EAF3F7"/>
        <w:keepNext/>
        <w:keepLines/>
        <w:pBdr>
          <w:left w:val="single" w:sz="8" w:space="8" w:color="246B8E"/>
        </w:pBdr>
        <w:ind w:left="173" w:right="86"/>
      </w:pPr>
      <w:r>
        <w:t>Cristóbal, de 30 años, tarda tres horas en salir de casa porque revisa cocina, enchufes y cerradura en secuencias de ocho. Repite mentalmente los pasos para asegurarse de no haber olvidado nada. Tiene imágenes intrusivas de apuñalar a su pareja, que le resultan repugnantes; esconde cuchillos y le pide decenas de veces que confirme que “no es psicópata”. Nunca ha deseado dañarla y evita quedarse a solas con ella.</w:t>
      </w:r>
    </w:p>
    <w:p>
      <w:pPr>
        <w:shd w:fill="EAF3F7"/>
        <w:keepLines/>
        <w:pBdr>
          <w:left w:val="single" w:sz="8" w:space="8" w:color="246B8E"/>
        </w:pBdr>
        <w:ind w:left="173" w:right="86"/>
      </w:pPr>
      <w:r>
        <w:t>La imagen, el ocultamiento, la revisión mental y el reaseguro forman un circuito. Aunque la fenomenología sugiere obsesiones agresivas, se pregunta por intención, planificación, control, historia de violencia y suicidalidad en vez de decidir por el contenido aislado.</w:t>
      </w:r>
    </w:p>
    <w:p>
      <w:pPr>
        <w:pStyle w:val="Heading1"/>
      </w:pPr>
      <w:r>
        <w:t>Obsesiones, compulsiones y evitación</w:t>
      </w:r>
    </w:p>
    <w:p>
      <w:r>
        <w:t xml:space="preserve">Las </w:t>
      </w:r>
      <w:r>
        <w:rPr>
          <w:b/>
        </w:rPr>
        <w:t>obsesiones</w:t>
      </w:r>
      <w:r>
        <w:t xml:space="preserve"> son pensamientos, imágenes o impulsos recurrentes e intrusivos, habitualmente no deseados, que producen ansiedad o malestar. La persona intenta ignorarlos, suprimirlos o neutralizarlos. Contaminación, duda y daño, simetría, sexualidad, religión, moralidad y síntomas somáticos son temas frecuentes; ninguno define por sí solo el diagnóstico.</w:t>
      </w:r>
    </w:p>
    <w:p>
      <w:r>
        <w:t xml:space="preserve">Las </w:t>
      </w:r>
      <w:r>
        <w:rPr>
          <w:b/>
        </w:rPr>
        <w:t>compulsiones</w:t>
      </w:r>
      <w:r>
        <w:t xml:space="preserve"> son conductas o actos mentales repetitivos realizados de acuerdo con reglas rígidas o para reducir malestar y prevenir una consecuencia temida. La relación con esa consecuencia es excesiva o no realista. Lavado, comprobación, orden, repetición y búsqueda de reaseguro son visibles; contar, rezar, repasar memoria, neutralizar palabras y analizar la propia intención pueden pasar inadvertidos.</w:t>
      </w:r>
    </w:p>
    <w:p>
      <w:r>
        <w:t>La evitación cumple la misma función que una compulsión: Cristóbal esconde cuchillos para reducir incertidumbre. El alivio negativo refuerza la conducta y hace que la intrusión adquiera más significado. Tener un pensamiento no aumenta mágicamente la probabilidad de ejecutarlo, pero la persona puede vivir como si pensar y actuar fueran equivalentes.</w:t>
      </w:r>
    </w:p>
    <w:p>
      <w:pPr>
        <w:pStyle w:val="Heading1"/>
      </w:pPr>
      <w:r>
        <w:t>Insight, gravedad y seguridad</w:t>
      </w:r>
    </w:p>
    <w:p>
      <w:r>
        <w:t>El insight puede ser bueno, pobre o ausente. Algunas personas reconocen que el temor probablemente es exagerado; otras están convencidas de que el ritual evita un daño. Ausencia de insight no convierte automáticamente el cuadro en esquizofrenia, pero amplía el diferencial con ideas delirantes y puede modificar tratamiento.</w:t>
      </w:r>
    </w:p>
    <w:p>
      <w:r>
        <w:t>Se pregunta cuántas horas ocupa el TOC, qué evita, cuánto participa la familia, cómo afecta trabajo, sueño, alimentación, piel, finanzas y autocuidado. La Yale-Brown Obsessive Compulsive Scale (</w:t>
      </w:r>
      <w:r>
        <w:rPr>
          <w:b/>
        </w:rPr>
        <w:t>Y-BOCS</w:t>
      </w:r>
      <w:r>
        <w:t>) puede apoyar la cuantificación y seguimiento, pero requiere entrenamiento e interpretación; no reemplaza entrevista ni diagnostica por un punto de corte.</w:t>
      </w:r>
    </w:p>
    <w:p>
      <w:r>
        <w:t xml:space="preserve">TOC se asocia a depresión y riesgo suicida. Hay que distinguir </w:t>
      </w:r>
      <w:r>
        <w:rPr>
          <w:b/>
        </w:rPr>
        <w:t>obsesión suicida</w:t>
      </w:r>
      <w:r>
        <w:t xml:space="preserve"> —intrusiva, temida y neutralizada— de ideación suicida con deseo, intención o planificación. Pueden coexistir. Lo mismo ocurre con obsesiones agresivas: egodistonía, evitación y reaseguro orientan, pero no eliminan una evaluación directa de riesgo.</w:t>
      </w:r>
    </w:p>
    <w:p>
      <w:pPr>
        <w:pStyle w:val="Heading1"/>
      </w:pPr>
      <w:r>
        <w:t>Diagnóstico diferencial</w:t>
      </w:r>
    </w:p>
    <w:p>
      <w:r>
        <w:t>En TAG, la preocupación suele girar alrededor de asuntos cotidianos y se vive como intento útil de anticipación, aunque puede acompañarse de chequeo. En depresión, la rumiación se concentra en pérdida, culpa o fracaso y no suele neutralizarse mediante rituales con reglas específicas.</w:t>
      </w:r>
    </w:p>
    <w:p>
      <w:r>
        <w:t xml:space="preserve">En psicosis predominan convicción y explicación delirante, sin intrusión, lucha y neutralización típicas; existe, sin embargo, un continuo de insight y algunos casos requieren seguimiento. La </w:t>
      </w:r>
      <w:r>
        <w:rPr>
          <w:b/>
        </w:rPr>
        <w:t>personalidad obsesivo-compulsiva</w:t>
      </w:r>
      <w:r>
        <w:t xml:space="preserve"> implica perfeccionismo, control y rigidez egosintónicos como patrón estable, no obsesiones y compulsiones en el sentido del TOC.</w:t>
      </w:r>
    </w:p>
    <w:p>
      <w:r>
        <w:t xml:space="preserve">En TEA, las rutinas pueden aportar predictibilidad, placer o regulación sensorial y estar presentes desde el desarrollo temprano. Si aparecen intrusiones temidas y actos para prevenir daño, puede existir TOC comórbido. Los </w:t>
      </w:r>
      <w:r>
        <w:rPr>
          <w:b/>
        </w:rPr>
        <w:t>tics</w:t>
      </w:r>
      <w:r>
        <w:t xml:space="preserve"> suelen estar precedidos por una urgencia sensoriomotora y seguidos de alivio; algunos fenómenos son fronterizos y el especificador relacionado con tics tiene relevancia clínica.</w:t>
      </w:r>
    </w:p>
    <w:p>
      <w:r>
        <w:t>También deben considerarse ansiedad por enfermedad, trastornos alimentarios, trauma y síntomas inducidos por sustancias o enfermedad neurológica según inicio y contexto. Un comienzo abrupto no autoriza explicaciones infecciosas o autoinmunes sin datos clínicos que las sostengan.</w:t>
      </w:r>
    </w:p>
    <w:p>
      <w:pPr>
        <w:pStyle w:val="Heading1"/>
      </w:pPr>
      <w:r>
        <w:t>Trastornos relacionados, pero no idénticos</w:t>
      </w:r>
    </w:p>
    <w:p>
      <w:r>
        <w:t xml:space="preserve">En el </w:t>
      </w:r>
      <w:r>
        <w:rPr>
          <w:b/>
        </w:rPr>
        <w:t>trastorno dismórfico corporal</w:t>
      </w:r>
      <w:r>
        <w:t>, la persona se preocupa por uno o más defectos no observables o leves para otros y realiza comparación, espejo, camuflaje, búsqueda de reaseguro o procedimientos. El insight puede ser ausente y el riesgo suicida es relevante. Derivar repetidamente a procedimientos estéticos sin evaluar la psicopatología puede perpetuar el cuadro.</w:t>
      </w:r>
    </w:p>
    <w:p>
      <w:r>
        <w:t xml:space="preserve">El </w:t>
      </w:r>
      <w:r>
        <w:rPr>
          <w:b/>
        </w:rPr>
        <w:t>trastorno de acumulación</w:t>
      </w:r>
      <w:r>
        <w:t xml:space="preserve"> implica dificultad persistente para desechar posesiones, necesidad percibida de conservarlas y congestión de espacios. Se diferencia del coleccionismo organizado y puede generar incendios, caídas, plagas o conflicto habitacional. Retirar objetos sin colaboración puede ser traumático y no trata el mecanismo.</w:t>
      </w:r>
    </w:p>
    <w:p>
      <w:r>
        <w:t xml:space="preserve">La </w:t>
      </w:r>
      <w:r>
        <w:rPr>
          <w:b/>
        </w:rPr>
        <w:t>tricotilomanía</w:t>
      </w:r>
      <w:r>
        <w:t xml:space="preserve"> y el </w:t>
      </w:r>
      <w:r>
        <w:rPr>
          <w:b/>
        </w:rPr>
        <w:t>trastorno de excoriación</w:t>
      </w:r>
      <w:r>
        <w:t xml:space="preserve"> son conductas repetitivas centradas en el cuerpo, con intentos fallidos de disminuirlas y daño. Pueden ocurrir con conciencia variable y no siempre responden al mismo modelo que una compulsión por amenaza. El entrenamiento de reversión de hábito y otras intervenciones conductuales tienen un papel importante. Agrupar estos cuadros no significa que sus tratamientos sean intercambiables.</w:t>
      </w:r>
    </w:p>
    <w:p>
      <w:pPr>
        <w:pStyle w:val="Heading1"/>
      </w:pPr>
      <w:r>
        <w:t>Exposición con prevención de respuesta</w:t>
      </w:r>
    </w:p>
    <w:p>
      <w:r>
        <w:t>La exposición con prevención de respuesta (</w:t>
      </w:r>
      <w:r>
        <w:rPr>
          <w:b/>
        </w:rPr>
        <w:t>EPR</w:t>
      </w:r>
      <w:r>
        <w:t>) es una intervención de primera línea. La persona se acerca de modo planificado a señales temidas y se abstiene de la compulsión, ritual mental o reaseguro. Aprende que puede tolerar incertidumbre y malestar, que la ansiedad cambia sin ritual y que el mundo no depende de neutralizar pensamientos.</w:t>
      </w:r>
    </w:p>
    <w:p>
      <w:r>
        <w:t>La jerarquía, el ritmo y las metas se acuerdan. La exposición no es coerción, engaño ni contacto inseguro con contaminantes reales. Debe incluir rituales encubiertos: tocar un objeto mientras se repite una oración neutralizadora no constituye prevención de respuesta. El objetivo contemporáneo no es exclusivamente que la ansiedad llegue a cero, sino ampliar aprendizaje y flexibilidad.</w:t>
      </w:r>
    </w:p>
    <w:p>
      <w:r>
        <w:t xml:space="preserve">La </w:t>
      </w:r>
      <w:r>
        <w:rPr>
          <w:b/>
        </w:rPr>
        <w:t>acomodación familiar</w:t>
      </w:r>
      <w:r>
        <w:t xml:space="preserve"> ocurre cuando cercanos lavan, verifican, responden la misma pregunta o reorganizan toda la casa. Reducirla gradualmente forma parte del tratamiento, sin retirar afecto ni convertir a la familia en policía. El clínico también evita participar en el circuito: responder por vigésima vez “usted jamás haría eso” alivia, pero puede reforzar la próxima pregunta.</w:t>
      </w:r>
    </w:p>
    <w:p>
      <w:pPr>
        <w:pStyle w:val="Heading1"/>
      </w:pPr>
      <w:r>
        <w:t>Farmacoterapia</w:t>
      </w:r>
    </w:p>
    <w:p>
      <w:r>
        <w:t>Los inhibidores selectivos de recaptación de serotonina (</w:t>
      </w:r>
      <w:r>
        <w:rPr>
          <w:b/>
        </w:rPr>
        <w:t>ISRS</w:t>
      </w:r>
      <w:r>
        <w:t>) son primera línea. El TOC suele requerir un ensayo más prolongado y, según tolerancia y fármaco, dosis terapéuticas en el rango alto. La respuesta se evalúa después de un período adecuado, habitualmente cercano a doce semanas e incluyendo tiempo suficiente a la dosis máxima tolerada. Superar la dosis autorizada localmente es una decisión especializada y explícitamente fuera de ficha, no una extensión automática del algoritmo. Se controlan activación, efectos sexuales, adherencia, ánimo e interacciones.</w:t>
      </w:r>
    </w:p>
    <w:p>
      <w:r>
        <w:t>La clomipramina es eficaz, pero su carga anticolinérgica, efectos cardiovasculares, interacciones y toxicidad en sobredosis limitan su uso y pueden exigir electrocardiograma y monitorización según riesgo. No es un “ISRS más fuerte” intercambiable sin precauciones.</w:t>
      </w:r>
    </w:p>
    <w:p>
      <w:r>
        <w:t>Ante respuesta parcial se revisan diagnóstico, rituales ocultos, adherencia, duración y acceso a EPR auténtica antes de combinar. Potenciación con un antipsicótico a dosis baja puede considerarse en TOC resistente, especialmente en ciertos pacientes con tics, bajo supervisión especializada y monitorización de efectos adversos. Benzodiazepinas reducen ansiedad transitoria, pero no tratan el núcleo obsesivo-compulsivo.</w:t>
      </w:r>
    </w:p>
    <w:p>
      <w:pPr>
        <w:pStyle w:val="Heading1"/>
      </w:pPr>
      <w:r>
        <w:t>Refractariedad y continuidad</w:t>
      </w:r>
    </w:p>
    <w:p>
      <w:r>
        <w:t>Depresión, TEA, tics, consumo, personalidad y barreras familiares pueden exigir adaptación. TOC grave, autocuidado comprometido, pobre insight, riesgo o fracaso de tratamientos adecuados justifican derivación. Neuromodulación o neurocirugía se reservan para casos excepcionales y refractarios en centros expertos.</w:t>
      </w:r>
    </w:p>
    <w:p>
      <w:r>
        <w:t>Después de estabilidad, el retiro farmacológico es gradual y compartido; la recaída es frecuente tras suspensión prematura. En Cristóbal, el plan integra evaluación real de riesgo, EPR especializada, un ISRS y reducción progresiva del reaseguro de la pareja. Esconder cuchillos no se prohíbe de golpe: se comprende y se trabaja dentro de una jerarquía segura.</w:t>
      </w:r>
    </w:p>
    <w:p>
      <w:pPr>
        <w:pStyle w:val="Heading1"/>
      </w:pPr>
      <w:r>
        <w:t>Errores frecuentes</w:t>
      </w:r>
    </w:p>
    <w:p>
      <w:pPr>
        <w:pStyle w:val="ListBullet"/>
      </w:pPr>
      <w:r>
        <w:t>Confundir un pensamiento tabú con intención o asumir que nunca requiere evaluación de riesgo.</w:t>
      </w:r>
    </w:p>
    <w:p>
      <w:pPr>
        <w:pStyle w:val="ListBullet"/>
      </w:pPr>
      <w:r>
        <w:t>Reasegurar repetidamente como si fuera tratamiento.</w:t>
      </w:r>
    </w:p>
    <w:p>
      <w:pPr>
        <w:pStyle w:val="ListBullet"/>
      </w:pPr>
      <w:r>
        <w:t>Llamar psicótica a toda persona con insight pobre.</w:t>
      </w:r>
    </w:p>
    <w:p>
      <w:pPr>
        <w:pStyle w:val="ListBullet"/>
      </w:pPr>
      <w:r>
        <w:t>Confundir personalidad obsesivo-compulsiva con rituales de TOC.</w:t>
      </w:r>
    </w:p>
    <w:p>
      <w:pPr>
        <w:pStyle w:val="ListBullet"/>
      </w:pPr>
      <w:r>
        <w:t>Declarar ineficaz un ISRS después de un ensayo breve o subdosificado.</w:t>
      </w:r>
    </w:p>
    <w:p>
      <w:pPr>
        <w:pStyle w:val="ListBullet"/>
      </w:pPr>
      <w:r>
        <w:t>Usar benzodiazepinas para tratar el núcleo del TOC.</w:t>
      </w:r>
    </w:p>
    <w:p>
      <w:pPr>
        <w:pStyle w:val="ListBullet"/>
      </w:pPr>
      <w:r>
        <w:t>Realizar exposición improvisada, peligrosa o coercitiva.</w:t>
      </w:r>
    </w:p>
    <w:p>
      <w:pPr>
        <w:pStyle w:val="ListBullet"/>
      </w:pPr>
      <w:r>
        <w:t>Omitir depresión y suicidalidad en TOC o dismorfia grave.</w:t>
      </w:r>
    </w:p>
    <w:p>
      <w:pPr>
        <w:pStyle w:val="Heading1"/>
      </w:pPr>
      <w:r>
        <w:t>Para recordar</w:t>
      </w:r>
    </w:p>
    <w:p>
      <w:pPr>
        <w:spacing w:after="60" w:line="288" w:lineRule="auto"/>
        <w:ind w:left="432" w:hanging="216"/>
        <w:shd w:fill="EAF6F3"/>
        <w:keepNext/>
        <w:keepLines/>
        <w:pBdr>
          <w:left w:val="single" w:sz="8" w:space="8" w:color="2A8C82"/>
        </w:pBdr>
      </w:pPr>
      <w:r>
        <w:t>1. En TOC importan la forma y función del pensamiento y del ritual, no lo escandaloso del contenido.</w:t>
      </w:r>
    </w:p>
    <w:p>
      <w:pPr>
        <w:spacing w:after="60" w:line="288" w:lineRule="auto"/>
        <w:ind w:left="432" w:hanging="216"/>
        <w:shd w:fill="EAF6F3"/>
        <w:keepNext/>
        <w:keepLines/>
        <w:pBdr>
          <w:left w:val="single" w:sz="8" w:space="8" w:color="2A8C82"/>
        </w:pBdr>
      </w:pPr>
      <w:r>
        <w:t>2. La compulsión y el reaseguro alivian ahora y mantienen el problema después.</w:t>
      </w:r>
    </w:p>
    <w:p>
      <w:pPr>
        <w:spacing w:after="60" w:line="288" w:lineRule="auto"/>
        <w:ind w:left="432" w:hanging="216"/>
        <w:shd w:fill="EAF6F3"/>
        <w:keepNext/>
        <w:keepLines/>
        <w:pBdr>
          <w:left w:val="single" w:sz="8" w:space="8" w:color="2A8C82"/>
        </w:pBdr>
      </w:pPr>
      <w:r>
        <w:t>3. EPR e ISRS constituyen pilares terapéuticos.</w:t>
      </w:r>
    </w:p>
    <w:p>
      <w:pPr>
        <w:spacing w:after="60" w:line="288" w:lineRule="auto"/>
        <w:ind w:left="432" w:hanging="216"/>
        <w:shd w:fill="EAF6F3"/>
        <w:keepNext/>
        <w:keepLines/>
        <w:pBdr>
          <w:left w:val="single" w:sz="8" w:space="8" w:color="2A8C82"/>
        </w:pBdr>
      </w:pPr>
      <w:r>
        <w:t>4. El ensayo farmacológico debe ser suficientemente prolongado y optimizado.</w:t>
      </w:r>
    </w:p>
    <w:p>
      <w:pPr>
        <w:spacing w:after="60" w:line="288" w:lineRule="auto"/>
        <w:ind w:left="432" w:hanging="216"/>
        <w:shd w:fill="EAF6F3"/>
        <w:keepLines/>
        <w:pBdr>
          <w:left w:val="single" w:sz="8" w:space="8" w:color="2A8C82"/>
        </w:pBdr>
      </w:pPr>
      <w:r>
        <w:t>5. Validar sufrimiento no significa participar en la neutralización compulsiva.</w:t>
      </w:r>
    </w:p>
    <w:p>
      <w:pPr>
        <w:pStyle w:val="Heading1"/>
      </w:pPr>
      <w:r>
        <w:t>Bibliografía esencial</w:t>
      </w:r>
    </w:p>
    <w:p>
      <w:pPr>
        <w:pStyle w:val="Bibliography"/>
      </w:pPr>
      <w:r>
        <w:t xml:space="preserve">• American Psychiatric Association. </w:t>
      </w:r>
      <w:r>
        <w:rPr>
          <w:i/>
        </w:rPr>
        <w:t>Diagnostic and Statistical Manual of Mental Disorders: DSM-5-TR</w:t>
      </w:r>
      <w:r>
        <w:t xml:space="preserve">. American Psychiatric Association Publishing; 2022. </w:t>
      </w:r>
      <w:hyperlink r:id="rId49">
        <w:r>
          <w:rPr>
            <w:color w:val="246B8E"/>
            <w:u w:val="single"/>
          </w:rPr>
          <w:t>DOI</w:t>
        </w:r>
      </w:hyperlink>
      <w:r>
        <w:t>.</w:t>
      </w:r>
    </w:p>
    <w:p>
      <w:pPr>
        <w:pStyle w:val="Bibliography"/>
      </w:pPr>
      <w:r>
        <w:t xml:space="preserve">• World Health Organization. </w:t>
      </w:r>
      <w:r>
        <w:rPr>
          <w:i/>
        </w:rPr>
        <w:t>Clinical Descriptions and Diagnostic Requirements for ICD-11 Mental, Behavioural and Neurodevelopmental Disorders</w:t>
      </w:r>
      <w:r>
        <w:t xml:space="preserve">. 2024. </w:t>
      </w:r>
      <w:hyperlink r:id="rId69">
        <w:r>
          <w:rPr>
            <w:color w:val="246B8E"/>
            <w:u w:val="single"/>
          </w:rPr>
          <w:t>Publicación oficial</w:t>
        </w:r>
      </w:hyperlink>
      <w:r>
        <w:t>.</w:t>
      </w:r>
    </w:p>
    <w:p>
      <w:pPr>
        <w:pStyle w:val="Bibliography"/>
      </w:pPr>
      <w:r>
        <w:t xml:space="preserve">• National Institute for Health and Care Excellence. </w:t>
      </w:r>
      <w:r>
        <w:rPr>
          <w:i/>
        </w:rPr>
        <w:t>Obsessive-compulsive disorder and body dysmorphic disorder: treatment</w:t>
      </w:r>
      <w:r>
        <w:t xml:space="preserve">. CG31; 2005, vigente y en proceso de actualización. </w:t>
      </w:r>
      <w:hyperlink r:id="rId78">
        <w:r>
          <w:rPr>
            <w:color w:val="246B8E"/>
            <w:u w:val="single"/>
          </w:rPr>
          <w:t>Guía</w:t>
        </w:r>
      </w:hyperlink>
      <w:r>
        <w:t>.</w:t>
      </w:r>
    </w:p>
    <w:p>
      <w:pPr>
        <w:pStyle w:val="Bibliography"/>
      </w:pPr>
      <w:r>
        <w:t xml:space="preserve">• Stein DJ, Costa DLC, Lochner C, et al. Obsessive-compulsive disorder. </w:t>
      </w:r>
      <w:r>
        <w:rPr>
          <w:i/>
        </w:rPr>
        <w:t>Nature Reviews Disease Primers</w:t>
      </w:r>
      <w:r>
        <w:t xml:space="preserve">. 2019;5(1):52. </w:t>
      </w:r>
      <w:hyperlink r:id="rId79">
        <w:r>
          <w:rPr>
            <w:color w:val="246B8E"/>
            <w:u w:val="single"/>
          </w:rPr>
          <w:t>DOI</w:t>
        </w:r>
      </w:hyperlink>
      <w:r>
        <w:t>.</w:t>
      </w:r>
    </w:p>
    <w:p>
      <w:pPr>
        <w:pStyle w:val="Bibliography"/>
      </w:pPr>
      <w:r>
        <w:t xml:space="preserve">• Skapinakis P, Caldwell DM, Hollingworth W, et al. Pharmacological and psychotherapeutic interventions for management of obsessive-compulsive disorder in adults: a systematic review and network meta-analysis. </w:t>
      </w:r>
      <w:r>
        <w:rPr>
          <w:i/>
        </w:rPr>
        <w:t>Lancet Psychiatry</w:t>
      </w:r>
      <w:r>
        <w:t xml:space="preserve">. 2016;3(8):730–739. </w:t>
      </w:r>
      <w:hyperlink r:id="rId80">
        <w:r>
          <w:rPr>
            <w:color w:val="246B8E"/>
            <w:u w:val="single"/>
          </w:rPr>
          <w:t>DOI</w:t>
        </w:r>
      </w:hyperlink>
      <w:r>
        <w:t>.</w:t>
      </w:r>
    </w:p>
    <w:p>
      <w:r>
        <w:br w:type="page"/>
      </w:r>
    </w:p>
    <w:p>
      <w:pPr>
        <w:spacing w:after="480"/>
      </w:pPr>
      <w:r>
        <w:rPr>
          <w:rFonts w:ascii="Calibri" w:hAnsi="Calibri"/>
          <w:b/>
          <w:color w:val="2A8C82"/>
          <w:sz w:val="20"/>
        </w:rPr>
        <w:t>CAPÍTULO 30 · MATERIAL PARA ESTUDIANTES</w:t>
      </w:r>
    </w:p>
    <w:tbl>
      <w:tblPr>
        <w:tblW w:type="auto" w:w="0"/>
        <w:jc w:val="left"/>
        <w:tblLayout w:type="fixed"/>
        <w:tblLook w:firstColumn="1" w:firstRow="1" w:lastColumn="0" w:lastRow="0" w:noHBand="0" w:noVBand="1" w:val="04A0"/>
      </w:tblPr>
      <w:tblGrid>
        <w:gridCol w:w="9648"/>
      </w:tblGrid>
      <w:tr>
        <w:trPr>
          <w:tblHeader w:val="true"/>
        </w:trPr>
        <w:tc>
          <w:tcPr>
            <w:tcW w:type="dxa" w:w="9072"/>
            <w:shd w:fill="173A5E"/>
            <w:tcMar>
              <w:top w:w="120" w:type="dxa"/>
              <w:start w:w="220" w:type="dxa"/>
              <w:bottom w:w="120" w:type="dxa"/>
              <w:end w:w="220" w:type="dxa"/>
            </w:tcMar>
          </w:tcPr>
          <w:p>
            <w:pPr>
              <w:spacing w:after="0"/>
            </w:pPr>
            <w:r>
              <w:rPr>
                <w:rFonts w:ascii="Calibri" w:hAnsi="Calibri"/>
                <w:b/>
                <w:color w:val="FFFFFF"/>
                <w:sz w:val="19"/>
              </w:rPr>
              <w:t>MÓDULO II · PATOLOGÍAS, GES Y TRATAMIENTOS</w:t>
            </w:r>
          </w:p>
        </w:tc>
      </w:tr>
    </w:tbl>
    <w:p>
      <w:pPr>
        <w:pStyle w:val="Title"/>
        <w:spacing w:before="520" w:after="360"/>
        <w:outlineLvl w:val="0"/>
      </w:pPr>
      <w:bookmarkStart w:id="1030" w:name="chapter_30"/>
      <w:r>
        <w:t>Trauma, trastorno por estrés agudo, TEPT y disociación</w:t>
      </w:r>
      <w:bookmarkEnd w:id="1030"/>
    </w:p>
    <w:p>
      <w:pPr>
        <w:spacing w:after="80"/>
      </w:pPr>
      <w:r>
        <w:rPr>
          <w:rFonts w:ascii="Calibri" w:hAnsi="Calibri"/>
          <w:b/>
          <w:color w:val="246B8E"/>
          <w:sz w:val="26"/>
        </w:rPr>
        <w:t>Programa de Psiquiatría para internos de Medicina</w:t>
      </w:r>
    </w:p>
    <w:p>
      <w:r>
        <w:rPr>
          <w:rFonts w:ascii="Calibri" w:hAnsi="Calibri"/>
          <w:color w:val="6B7280"/>
          <w:sz w:val="22"/>
        </w:rPr>
        <w:t>Lectura complementaria · Chile · Versión final para revisión humana · 2026</w:t>
      </w:r>
    </w:p>
    <w:p/>
    <w:p/>
    <w:p/>
    <w:p/>
    <w:p/>
    <w:tbl>
      <w:tblPr>
        <w:tblW w:type="auto" w:w="0"/>
        <w:jc w:val="left"/>
        <w:tblLayout w:type="fixed"/>
        <w:tblLook w:firstColumn="1" w:firstRow="1" w:lastColumn="0" w:lastRow="0" w:noHBand="0" w:noVBand="1" w:val="04A0"/>
      </w:tblPr>
      <w:tblGrid>
        <w:gridCol w:w="9648"/>
      </w:tblGrid>
      <w:tr>
        <w:trPr>
          <w:tblHeader w:val="true"/>
        </w:trPr>
        <w:tc>
          <w:tcPr>
            <w:tcW w:type="dxa" w:w="9648"/>
            <w:shd w:fill="F3F5F6"/>
            <w:tcBorders>
              <w:start w:val="single" w:sz="18" w:color="2A8C82"/>
            </w:tcBorders>
            <w:tcMar>
              <w:top w:w="160" w:type="dxa"/>
              <w:start w:w="220" w:type="dxa"/>
              <w:bottom w:w="160" w:type="dxa"/>
              <w:end w:w="220" w:type="dxa"/>
            </w:tcMar>
          </w:tcPr>
          <w:p>
            <w:pPr>
              <w:spacing w:after="0"/>
            </w:pPr>
            <w:r>
              <w:rPr>
                <w:rFonts w:ascii="Calibri" w:hAnsi="Calibri"/>
                <w:i/>
                <w:color w:val="6B7280"/>
                <w:sz w:val="18"/>
              </w:rPr>
              <w:t>Versión docente final para revisión humana. Material propuesto y contextualizado a Chile; no corresponde a un programa oficial de la Pontificia Universidad Católica de Chile ni sustituye protocolos locales, supervisión clínica o evaluación especializada. Fuentes revisadas al 15 de agosto de 2026.</w:t>
            </w:r>
          </w:p>
        </w:tc>
      </w:tr>
    </w:tbl>
    <w:p>
      <w:r>
        <w:br w:type="page"/>
      </w:r>
    </w:p>
    <w:tbl>
      <w:tblPr>
        <w:tblW w:type="auto" w:w="0"/>
        <w:jc w:val="center"/>
        <w:tblLayout w:type="autofit"/>
        <w:tblLook w:firstColumn="1" w:firstRow="1" w:lastColumn="0" w:lastRow="0" w:noHBand="0" w:noVBand="1" w:val="04A0"/>
      </w:tblPr>
      <w:tblGrid>
        <w:gridCol w:w="9648"/>
      </w:tblGrid>
      <w:tr>
        <w:trPr>
          <w:tblHeader w:val="true"/>
        </w:trPr>
        <w:tc>
          <w:tcPr>
            <w:tcW w:type="dxa" w:w="9648"/>
            <w:vAlign w:val="center"/>
            <w:shd w:fill="EAF3F7"/>
            <w:tcBorders>
              <w:start w:val="single" w:sz="14" w:color="2A8C82"/>
            </w:tcBorders>
            <w:tcMar>
              <w:top w:w="130" w:type="dxa"/>
              <w:start w:w="190" w:type="dxa"/>
              <w:bottom w:w="130" w:type="dxa"/>
              <w:end w:w="190" w:type="dxa"/>
            </w:tcMar>
          </w:tcPr>
          <w:p>
            <w:pPr>
              <w:spacing w:after="0"/>
            </w:pPr>
            <w:r>
              <w:rPr>
                <w:b/>
                <w:color w:val="173A5E"/>
              </w:rPr>
              <w:t xml:space="preserve">PREGUNTA CLÍNICA  </w:t>
            </w:r>
            <w:r>
              <w:t>¿Cómo evaluar secuelas de trauma sin forzar una narración, revictimizar ni convertir toda reacción humana posterior en trastorno por estrés postraumático?</w:t>
            </w:r>
          </w:p>
        </w:tc>
      </w:tr>
    </w:tbl>
    <w:p>
      <w:pPr>
        <w:spacing w:after="0"/>
      </w:pPr>
    </w:p>
    <w:tbl>
      <w:tblPr>
        <w:tblW w:type="auto" w:w="0"/>
        <w:jc w:val="center"/>
        <w:tblLayout w:type="autofit"/>
        <w:tblLook w:firstColumn="1" w:firstRow="1" w:lastColumn="0" w:lastRow="0" w:noHBand="0" w:noVBand="1" w:val="04A0"/>
      </w:tblPr>
      <w:tblGrid>
        <w:gridCol w:w="9648"/>
      </w:tblGrid>
      <w:tr>
        <w:trPr>
          <w:tblHeader w:val="true"/>
        </w:trPr>
        <w:tc>
          <w:tcPr>
            <w:tcW w:type="dxa" w:w="9648"/>
            <w:vAlign w:val="center"/>
            <w:shd w:fill="EAF6F3"/>
            <w:tcBorders>
              <w:start w:val="single" w:sz="14" w:color="2A8C82"/>
            </w:tcBorders>
            <w:tcMar>
              <w:top w:w="130" w:type="dxa"/>
              <w:start w:w="190" w:type="dxa"/>
              <w:bottom w:w="130" w:type="dxa"/>
              <w:end w:w="190" w:type="dxa"/>
            </w:tcMar>
          </w:tcPr>
          <w:p>
            <w:pPr>
              <w:spacing w:after="0"/>
            </w:pPr>
            <w:r>
              <w:rPr>
                <w:b/>
                <w:color w:val="173A5E"/>
              </w:rPr>
              <w:t xml:space="preserve">IDEA CENTRAL  </w:t>
            </w:r>
            <w:r>
              <w:t>La atención informada por trauma prioriza seguridad, elección, colaboración y control. El diagnóstico depende del patrón, la duración y el deterioro, no sólo de que haya ocurrido un evento terrible.</w:t>
            </w:r>
          </w:p>
        </w:tc>
      </w:tr>
    </w:tbl>
    <w:p>
      <w:pPr>
        <w:spacing w:after="0"/>
      </w:pPr>
    </w:p>
    <w:p>
      <w:pPr>
        <w:pStyle w:val="Heading1"/>
      </w:pPr>
      <w:r>
        <w:t>Por qué importa</w:t>
      </w:r>
    </w:p>
    <w:p>
      <w:r>
        <w:t>Después de una amenaza grave son frecuentes miedo, insomnio, intrusiones y activación. Muchas personas mejoran con seguridad y apoyo; otras desarrollan trastornos persistentes. Diagnosticar demasiado pronto puede patologizar recuperación normal, mientras exigir que “pase el tiempo” puede dejar sin ayuda a quien tiene riesgo, lesiones o síntomas intensos.</w:t>
      </w:r>
    </w:p>
    <w:p>
      <w:r>
        <w:t>La forma de entrevistar también importa. Obligar a relatar detalles para “desahogarse”, repetir interrogatorios o quitar decisiones puede reproducir pérdida de control y provocar abandono. Atención informada por trauma no significa evitar toda pregunta difícil: significa preguntar lo necesario, explicar por qué y devolver opciones cuando sea posible.</w:t>
      </w:r>
    </w:p>
    <w:p>
      <w:pPr>
        <w:pStyle w:val="Heading1"/>
      </w:pPr>
      <w:r>
        <w:t>Objetivos de aprendizaje</w:t>
      </w:r>
    </w:p>
    <w:p>
      <w:pPr>
        <w:keepNext/>
      </w:pPr>
      <w:r>
        <w:t>Al finalizar este capítulo, el estudiante podrá:</w:t>
      </w:r>
    </w:p>
    <w:p>
      <w:pPr>
        <w:spacing w:after="60" w:line="288" w:lineRule="auto"/>
        <w:ind w:left="432" w:hanging="216"/>
      </w:pPr>
      <w:r>
        <w:t>1. Distinguir respuestas agudas, trastorno por estrés agudo y TEPT.</w:t>
      </w:r>
    </w:p>
    <w:p>
      <w:pPr>
        <w:spacing w:after="60" w:line="288" w:lineRule="auto"/>
        <w:ind w:left="432" w:hanging="216"/>
      </w:pPr>
      <w:r>
        <w:t>2. Reconocer intrusión, evitación, cambios cognitivo-afectivos, hiperactivación y disociación.</w:t>
      </w:r>
    </w:p>
    <w:p>
      <w:pPr>
        <w:spacing w:after="60" w:line="288" w:lineRule="auto"/>
        <w:ind w:left="432" w:hanging="216"/>
      </w:pPr>
      <w:r>
        <w:t>3. Comprender diferencias relevantes entre DSM-5-TR y CIE-11.</w:t>
      </w:r>
    </w:p>
    <w:p>
      <w:pPr>
        <w:spacing w:after="60" w:line="288" w:lineRule="auto"/>
        <w:ind w:left="432" w:hanging="216"/>
      </w:pPr>
      <w:r>
        <w:t>4. Diferenciar TEPT de adaptación, depresión, pánico, psicosis, TCE y consumo.</w:t>
      </w:r>
    </w:p>
    <w:p>
      <w:pPr>
        <w:spacing w:after="60" w:line="288" w:lineRule="auto"/>
        <w:ind w:left="432" w:hanging="216"/>
      </w:pPr>
      <w:r>
        <w:t>5. Realizar una entrevista informada por trauma sin forzar revelación.</w:t>
      </w:r>
    </w:p>
    <w:p>
      <w:pPr>
        <w:spacing w:after="60" w:line="288" w:lineRule="auto"/>
        <w:ind w:left="432" w:hanging="216"/>
      </w:pPr>
      <w:r>
        <w:t>6. Seleccionar intervenciones tempranas y tratamientos focalizados con evidencia.</w:t>
      </w:r>
    </w:p>
    <w:p>
      <w:pPr>
        <w:spacing w:after="60" w:line="288" w:lineRule="auto"/>
        <w:ind w:left="432" w:hanging="216"/>
      </w:pPr>
      <w:r>
        <w:t>7. Reconocer y activar la garantía chilena GES 86 en agresión sexual aguda.</w:t>
      </w:r>
    </w:p>
    <w:p>
      <w:pPr>
        <w:pStyle w:val="Heading1"/>
      </w:pPr>
      <w:r>
        <w:t>Caso clínico</w:t>
      </w:r>
    </w:p>
    <w:p>
      <w:pPr>
        <w:shd w:fill="EAF3F7"/>
        <w:keepNext/>
        <w:keepLines/>
        <w:pBdr>
          <w:left w:val="single" w:sz="8" w:space="8" w:color="246B8E"/>
        </w:pBdr>
        <w:ind w:left="173" w:right="86"/>
      </w:pPr>
      <w:r>
        <w:t>Valentina, de 31 años, sobrevivió hace dos meses a una agresión violenta. Tiene pesadillas e imágenes intrusivas, evita el lugar, se sobresalta, se culpa por haberse paralizado y a veces siente que observa su cuerpo desde fuera. Bebe alcohol para dormir. En una consulta anterior le pidieron contar todos los detalles “para sacarlos de una vez” y abandonó la atención.</w:t>
      </w:r>
    </w:p>
    <w:p>
      <w:pPr>
        <w:shd w:fill="EAF3F7"/>
        <w:keepLines/>
        <w:pBdr>
          <w:left w:val="single" w:sz="8" w:space="8" w:color="246B8E"/>
        </w:pBdr>
        <w:ind w:left="173" w:right="86"/>
      </w:pPr>
      <w:r>
        <w:t>El caso es compatible con TEPT con síntomas disociativos y consumo como estrategia de afrontamiento. La evaluación debe incluir seguridad actual, suicidalidad, lesiones, función y alternativas diagnósticas, sin convertir la consulta en reconstrucción forense exhaustiva.</w:t>
      </w:r>
    </w:p>
    <w:p>
      <w:pPr>
        <w:pStyle w:val="Heading1"/>
      </w:pPr>
      <w:r>
        <w:t>Evento traumático y respuestas iniciales</w:t>
      </w:r>
    </w:p>
    <w:p>
      <w:r>
        <w:t>Los sistemas diagnósticos definen exposición traumática mediante muerte o amenaza de muerte, lesión grave o violencia sexual, experimentada directamente, presenciada o conocida bajo determinadas condiciones, además de ciertas exposiciones ocupacionales repetidas. No todo estrés vital cumple esa definición. Eso no vuelve irrelevantes el acoso, pérdida, enfermedad o humillación: pueden producir depresión, adaptación u otros problemas que también merecen atención.</w:t>
      </w:r>
    </w:p>
    <w:p>
      <w:r>
        <w:t>En los primeros días pueden aparecer insomnio, miedo, recuerdos intrusivos, irritabilidad, embotamiento o disociación sin constituir un trastorno. La intensidad por sí sola no predice cronicidad. Se priorizan seguridad, necesidades médicas y sociales, información comprensible y seguimiento.</w:t>
      </w:r>
    </w:p>
    <w:p>
      <w:r>
        <w:t xml:space="preserve">DSM-5-TR define </w:t>
      </w:r>
      <w:r>
        <w:rPr>
          <w:b/>
        </w:rPr>
        <w:t>trastorno por estrés agudo</w:t>
      </w:r>
      <w:r>
        <w:t xml:space="preserve"> entre tres días y un mes después del trauma, con un conjunto de síntomas intrusivos, afectivos, disociativos, evitativos y de activación. CIE-11 conceptualiza la reacción aguda al estrés de forma diferente y no debe suponerse equivalencia uno a uno. Los alumnos deben declarar qué clasificación utilizan.</w:t>
      </w:r>
    </w:p>
    <w:p>
      <w:pPr>
        <w:pStyle w:val="Heading1"/>
      </w:pPr>
      <w:r>
        <w:t>TEPT y TEPT complejo</w:t>
      </w:r>
    </w:p>
    <w:p>
      <w:r>
        <w:t>En DSM-5-TR, el trastorno por estrés postraumático (</w:t>
      </w:r>
      <w:r>
        <w:rPr>
          <w:b/>
        </w:rPr>
        <w:t>TEPT</w:t>
      </w:r>
      <w:r>
        <w:t>) requiere persistencia superior a un mes e integra cuatro dominios: intrusión; evitación; alteraciones negativas de cognición y ánimo; y activación o reactividad. Incluye deterioro clínicamente significativo y exclusión de sustancias u otras causas.</w:t>
      </w:r>
    </w:p>
    <w:p>
      <w:r>
        <w:t xml:space="preserve">Las intrusiones abarcan recuerdos involuntarios, pesadillas, reacciones disociativas o </w:t>
      </w:r>
      <w:r>
        <w:rPr>
          <w:i/>
        </w:rPr>
        <w:t>flashbacks</w:t>
      </w:r>
      <w:r>
        <w:t xml:space="preserve"> y malestar ante recordatorios. La evitación puede dirigirse a recuerdos internos o situaciones externas. Los cambios cognitivo-afectivos incluyen culpa, creencias negativas, desapego, disminución de interés y dificultad para experimentar emociones positivas. La hiperactivación comprende hipervigilancia, sobresalto, irritabilidad, sueño y concentración, además de conductas imprudentes en algunos casos.</w:t>
      </w:r>
    </w:p>
    <w:p>
      <w:r>
        <w:t xml:space="preserve">CIE-11 define un núcleo más estrecho: reexperimentación en el presente, evitación y sensación persistente de amenaza, con deterioro. El </w:t>
      </w:r>
      <w:r>
        <w:rPr>
          <w:b/>
        </w:rPr>
        <w:t>TEPT complejo</w:t>
      </w:r>
      <w:r>
        <w:t xml:space="preserve"> de CIE-11 agrega perturbaciones de la organización del yo: dificultades persistentes de regulación afectiva, autoconcepto negativo y relaciones. Suele asociarse a trauma prolongado o repetido, pero la historia por sí sola no basta. No debe usarse “trauma complejo” como sinónimo informal de cualquier caso grave.</w:t>
      </w:r>
    </w:p>
    <w:p>
      <w:pPr>
        <w:pStyle w:val="Heading1"/>
      </w:pPr>
      <w:r>
        <w:t>Disociación y diagnóstico diferencial</w:t>
      </w:r>
    </w:p>
    <w:p>
      <w:r>
        <w:t xml:space="preserve">La </w:t>
      </w:r>
      <w:r>
        <w:rPr>
          <w:b/>
        </w:rPr>
        <w:t>despersonalización</w:t>
      </w:r>
      <w:r>
        <w:t xml:space="preserve"> es extrañeza o distanciamiento respecto del propio cuerpo o procesos mentales; la </w:t>
      </w:r>
      <w:r>
        <w:rPr>
          <w:b/>
        </w:rPr>
        <w:t>desrealización</w:t>
      </w:r>
      <w:r>
        <w:t>, sensación de irrealidad del entorno. Puede existir amnesia disociativa o discontinuidad subjetiva de experiencia. En Valentina, “observar el cuerpo desde fuera” debe caracterizarse por duración, desencadenantes, prueba de realidad y conducta.</w:t>
      </w:r>
    </w:p>
    <w:p>
      <w:r>
        <w:t xml:space="preserve">Un </w:t>
      </w:r>
      <w:r>
        <w:rPr>
          <w:i/>
        </w:rPr>
        <w:t>flashback</w:t>
      </w:r>
      <w:r>
        <w:t xml:space="preserve"> puede sentirse como si el evento ocurriera ahora y tener gran vividez sensorial. Se diferencia de una alucinación psicótica por relación con el trauma, desencadenantes, curso y organización global, aunque no siempre mediante una sola pregunta. Pánico, epilepsia, traumatismo craneoencefálico (</w:t>
      </w:r>
      <w:r>
        <w:rPr>
          <w:b/>
        </w:rPr>
        <w:t>TCE</w:t>
      </w:r>
      <w:r>
        <w:t>), sustancias, delirium y trastornos psicóticos entran al diferencial según el patrón.</w:t>
      </w:r>
    </w:p>
    <w:p>
      <w:r>
        <w:t>Depresión comparte culpa, sueño y desapego, pero requiere examinar ánimo, anhedonia y curso fuera de recordatorios. El trastorno de adaptación se relaciona con un estresor y no presenta necesariamente el patrón traumático completo. Alcohol y cannabis pueden ser intentos de dormir o evitar recuerdos; también empeoran sueño, ansiedad, cognición y riesgo.</w:t>
      </w:r>
    </w:p>
    <w:p>
      <w:pPr>
        <w:pStyle w:val="Heading1"/>
      </w:pPr>
      <w:r>
        <w:t>Entrevista informada por trauma</w:t>
      </w:r>
    </w:p>
    <w:p>
      <w:r>
        <w:t>Al inicio se explican propósito, confidencialidad y sus límites. Se pregunta qué necesita la persona y se ofrece pausar, elegir acompañante o ajustar ubicación cuando sea posible. Se solicita sólo el detalle necesario para atención médica, seguridad y diagnóstico. La entrevista clínica no reemplaza un peritaje ni debe buscar inconsistencias con tono acusatorio.</w:t>
      </w:r>
    </w:p>
    <w:p>
      <w:r>
        <w:t>Se valida que lucha, huida, inmovilidad o sumisión son respuestas automáticas; paralizarse no implica consentimiento. Se evitan preguntas como “¿por qué no escapó?”. Cuando un dato debe repetirse por continuidad o obligación clínica, se explica la razón y se aprovechan antecedentes ya documentados.</w:t>
      </w:r>
    </w:p>
    <w:p>
      <w:r>
        <w:t>La evaluación incluye seguridad respecto del agresor, vivienda, niños o dependientes, lesiones, embarazo posible, infecciones, suicidalidad, autolesión, consumo y apoyos. La persona decide cuánto revelar dentro de los límites necesarios para responder a riesgo. Recibir un relato sin presionarlo puede ser terapéutico; exigirlo no es tratamiento.</w:t>
      </w:r>
    </w:p>
    <w:p>
      <w:pPr>
        <w:pStyle w:val="Heading1"/>
      </w:pPr>
      <w:r>
        <w:t>Intervenciones tempranas</w:t>
      </w:r>
    </w:p>
    <w:p>
      <w:r>
        <w:t>La primera respuesta aborda seguridad física, lesiones, dolor, apoyo práctico, sueño, información y conexión con recursos. Los primeros auxilios psicológicos ofrecen presencia y ayuda centrada en necesidades, no procesamiento obligatorio del evento. En síntomas subumbrales durante el primer mes puede utilizarse monitorización activa con seguimiento acordado.</w:t>
      </w:r>
    </w:p>
    <w:p>
      <w:r>
        <w:t xml:space="preserve">No se recomienda </w:t>
      </w:r>
      <w:r>
        <w:rPr>
          <w:b/>
        </w:rPr>
        <w:t>debriefing psicológico universal</w:t>
      </w:r>
      <w:r>
        <w:t xml:space="preserve"> de sesión única que obligue a reconstruir el trauma: no previene TEPT y puede causar daño. Tampoco se usan benzodiazepinas ni otros fármacos de rutina para prevenirlo. Adultos con trastorno por estrés agudo o síntomas clínicamente importantes dentro del primer mes pueden beneficiarse de TCC focalizada en trauma realizada por profesionales entrenados; esto difiere de intervenir a toda persona expuesta.</w:t>
      </w:r>
    </w:p>
    <w:p>
      <w:pPr>
        <w:pStyle w:val="Heading1"/>
      </w:pPr>
      <w:r>
        <w:t>GES 86: agresión sexual aguda en Chile</w:t>
      </w:r>
    </w:p>
    <w:p>
      <w:r>
        <w:t xml:space="preserve">GES 86 cubre a toda persona que consulta por una agresión sexual aguda, definida para esta garantía como ocurrida </w:t>
      </w:r>
      <w:r>
        <w:rPr>
          <w:b/>
        </w:rPr>
        <w:t>hace 72 horas o menos</w:t>
      </w:r>
      <w:r>
        <w:t xml:space="preserve"> y con las condiciones clínicas establecidas por la normativa. La primera respuesta en un servicio de urgencia hospitalaria debe otorgarse de manera </w:t>
      </w:r>
      <w:r>
        <w:rPr>
          <w:b/>
        </w:rPr>
        <w:t>inmediata</w:t>
      </w:r>
      <w:r>
        <w:t xml:space="preserve"> desde la solicitud de atención. El seguimiento tiene un plazo máximo de </w:t>
      </w:r>
      <w:r>
        <w:rPr>
          <w:b/>
        </w:rPr>
        <w:t>35 días</w:t>
      </w:r>
      <w:r>
        <w:t xml:space="preserve"> desde esa primera respuesta.</w:t>
      </w:r>
    </w:p>
    <w:p>
      <w:r>
        <w:t>La ruta no debe condicionarse a denuncia previa. La prioridad es atención integral: seguridad, lesiones, prevención de infecciones y embarazo cuando corresponda, salud mental, recolección de evidencia según protocolo y consentimiento, documentación y continuidad. Un episodio fuera de 72 horas pierde esa definición GES aguda, no el derecho a recibir atención clínica y apoyo.</w:t>
      </w:r>
    </w:p>
    <w:p>
      <w:pPr>
        <w:pStyle w:val="Heading1"/>
      </w:pPr>
      <w:r>
        <w:t>Psicoterapias focalizadas</w:t>
      </w:r>
    </w:p>
    <w:p>
      <w:r>
        <w:t>Las intervenciones con mayor respaldo incluyen TCC focalizada en trauma —como terapia de procesamiento cognitivo, exposición prolongada y terapia cognitiva para TEPT— y desensibilización y reprocesamiento por movimientos oculares (</w:t>
      </w:r>
      <w:r>
        <w:rPr>
          <w:b/>
        </w:rPr>
        <w:t>EMDR</w:t>
      </w:r>
      <w:r>
        <w:t>). Deben ser manualizadas, realizadas por profesionales entrenados y elegidas según preferencia, comorbilidad, preparación y acceso.</w:t>
      </w:r>
    </w:p>
    <w:p>
      <w:r>
        <w:t>El tratamiento procesa recuerdos y significados, interviene culpa y evitación y ayuda a recuperar función. Exposición terapéutica es gradual, colaborativa y con propósito; no obliga a “revivir” sin herramientas. Manejo de riesgo y estabilización pueden preceder o acompañar el procesamiento, pero no deben convertirse automáticamente en años de postergación.</w:t>
      </w:r>
    </w:p>
    <w:p>
      <w:r>
        <w:t>La disociación, consumo o historia compleja pueden requerir adaptación y coordinación; no justifican excluir de tratamiento sólo por su presencia. Si hay depresión grave que impide participar o eleva riesgo, puede requerir prioridad concomitante.</w:t>
      </w:r>
    </w:p>
    <w:p>
      <w:pPr>
        <w:pStyle w:val="Heading2"/>
      </w:pPr>
      <w:r>
        <w:t>Farmacoterapia y comorbilidad</w:t>
      </w:r>
    </w:p>
    <w:p>
      <w:r>
        <w:t>La psicoterapia focalizada suele preferirse cuando está disponible y es aceptada. Si la persona prefiere medicación o no tiene acceso, inhibidores selectivos de recaptación de serotonina (</w:t>
      </w:r>
      <w:r>
        <w:rPr>
          <w:b/>
        </w:rPr>
        <w:t>ISRS</w:t>
      </w:r>
      <w:r>
        <w:t>) como sertralina o paroxetina y el inhibidor de recaptación de serotonina y noradrenalina venlafaxina cuentan con evidencia. La elección considera efectos adversos, interacciones, embarazo, comorbilidad y riesgo.</w:t>
      </w:r>
    </w:p>
    <w:p>
      <w:r>
        <w:t>Prazosina puede considerarse para pesadillas asociadas a trauma en casos seleccionados; no se presenta como tratamiento global del TEPT y exige vigilar hipotensión y respuesta. Los antipsicóticos no son tratamiento rutinario sin otra indicación. Las benzodiazepinas crónicas se desaconsejan por dependencia, efectos cognitivos, interacción con alcohol y posible interferencia con tratamiento.</w:t>
      </w:r>
    </w:p>
    <w:p>
      <w:r>
        <w:t>Se tratan depresión, pánico, dolor y consumo sin perder el modelo traumático. “Primero deje de beber y después vuelva” puede cerrar la única puerta de ayuda; riesgo y abstinencia se manejan de forma integrada.</w:t>
      </w:r>
    </w:p>
    <w:p>
      <w:pPr>
        <w:pStyle w:val="Heading2"/>
      </w:pPr>
      <w:r>
        <w:t>Integración del caso</w:t>
      </w:r>
    </w:p>
    <w:p>
      <w:r>
        <w:t>Valentina requiere recuperar control sobre la entrevista, evaluar seguridad y suicidalidad, abordar alcohol y ofrecer psicoterapia focalizada. Puede discutirse farmacoterapia según preferencia y disponibilidad. Como la agresión ocurrió hace dos meses, GES 86 para agresión sexual aguda no sería aplicable por ventana temporal si ese hubiera sido el tipo de evento; ello no limita la obligación clínica de atender sus secuelas.</w:t>
      </w:r>
    </w:p>
    <w:p>
      <w:pPr>
        <w:pStyle w:val="Heading1"/>
      </w:pPr>
      <w:r>
        <w:t>Errores frecuentes</w:t>
      </w:r>
    </w:p>
    <w:p>
      <w:pPr>
        <w:pStyle w:val="ListBullet"/>
      </w:pPr>
      <w:r>
        <w:t>Diagnosticar TEPT sólo porque ocurrió un evento traumático.</w:t>
      </w:r>
    </w:p>
    <w:p>
      <w:pPr>
        <w:pStyle w:val="ListBullet"/>
      </w:pPr>
      <w:r>
        <w:t>Mezclar criterios DSM y CIE como si fueran equivalentes.</w:t>
      </w:r>
    </w:p>
    <w:p>
      <w:pPr>
        <w:pStyle w:val="ListBullet"/>
      </w:pPr>
      <w:r>
        <w:t>Obligar a narrar detalles para “desahogarse”.</w:t>
      </w:r>
    </w:p>
    <w:p>
      <w:pPr>
        <w:pStyle w:val="ListBullet"/>
      </w:pPr>
      <w:r>
        <w:t xml:space="preserve">Confundir </w:t>
      </w:r>
      <w:r>
        <w:rPr>
          <w:i/>
        </w:rPr>
        <w:t>flashback</w:t>
      </w:r>
      <w:r>
        <w:t xml:space="preserve"> con psicosis sin explorar contexto.</w:t>
      </w:r>
    </w:p>
    <w:p>
      <w:pPr>
        <w:pStyle w:val="ListBullet"/>
      </w:pPr>
      <w:r>
        <w:t>Indicar debriefing universal o fármacos para prevenir TEPT.</w:t>
      </w:r>
    </w:p>
    <w:p>
      <w:pPr>
        <w:pStyle w:val="ListBullet"/>
      </w:pPr>
      <w:r>
        <w:t>Cronificar benzodiazepinas o ignorar alcohol.</w:t>
      </w:r>
    </w:p>
    <w:p>
      <w:pPr>
        <w:pStyle w:val="ListBullet"/>
      </w:pPr>
      <w:r>
        <w:t>Condicionar la atención de agresión sexual a una denuncia.</w:t>
      </w:r>
    </w:p>
    <w:p>
      <w:pPr>
        <w:pStyle w:val="ListBullet"/>
      </w:pPr>
      <w:r>
        <w:t>Esperar un mes para atender lesiones, riesgo o necesidades agudas.</w:t>
      </w:r>
    </w:p>
    <w:p>
      <w:pPr>
        <w:pStyle w:val="Heading1"/>
      </w:pPr>
      <w:r>
        <w:t>Para recordar</w:t>
      </w:r>
    </w:p>
    <w:p>
      <w:pPr>
        <w:spacing w:after="60" w:line="288" w:lineRule="auto"/>
        <w:ind w:left="432" w:hanging="216"/>
        <w:shd w:fill="EAF6F3"/>
        <w:keepNext/>
        <w:keepLines/>
        <w:pBdr>
          <w:left w:val="single" w:sz="8" w:space="8" w:color="2A8C82"/>
        </w:pBdr>
      </w:pPr>
      <w:r>
        <w:t>1. El evento no basta: importan patrón, temporalidad, deterioro y clasificación utilizada.</w:t>
      </w:r>
    </w:p>
    <w:p>
      <w:pPr>
        <w:spacing w:after="60" w:line="288" w:lineRule="auto"/>
        <w:ind w:left="432" w:hanging="216"/>
        <w:shd w:fill="EAF6F3"/>
        <w:keepNext/>
        <w:keepLines/>
        <w:pBdr>
          <w:left w:val="single" w:sz="8" w:space="8" w:color="2A8C82"/>
        </w:pBdr>
      </w:pPr>
      <w:r>
        <w:t>2. La entrevista debe devolver control y obtener sólo lo necesario para cuidar.</w:t>
      </w:r>
    </w:p>
    <w:p>
      <w:pPr>
        <w:spacing w:after="60" w:line="288" w:lineRule="auto"/>
        <w:ind w:left="432" w:hanging="216"/>
        <w:shd w:fill="EAF6F3"/>
        <w:keepNext/>
        <w:keepLines/>
        <w:pBdr>
          <w:left w:val="single" w:sz="8" w:space="8" w:color="2A8C82"/>
        </w:pBdr>
      </w:pPr>
      <w:r>
        <w:t>3. Las reacciones agudas requieren seguridad y apoyo; no todas necesitan procesamiento traumático inmediato.</w:t>
      </w:r>
    </w:p>
    <w:p>
      <w:pPr>
        <w:spacing w:after="60" w:line="288" w:lineRule="auto"/>
        <w:ind w:left="432" w:hanging="216"/>
        <w:shd w:fill="EAF6F3"/>
        <w:keepNext/>
        <w:keepLines/>
        <w:pBdr>
          <w:left w:val="single" w:sz="8" w:space="8" w:color="2A8C82"/>
        </w:pBdr>
      </w:pPr>
      <w:r>
        <w:t>4. TCC focalizada y EMDR tienen evidencia y no equivalen a narración forzada.</w:t>
      </w:r>
    </w:p>
    <w:p>
      <w:pPr>
        <w:spacing w:after="60" w:line="288" w:lineRule="auto"/>
        <w:ind w:left="432" w:hanging="216"/>
        <w:shd w:fill="EAF6F3"/>
        <w:keepLines/>
        <w:pBdr>
          <w:left w:val="single" w:sz="8" w:space="8" w:color="2A8C82"/>
        </w:pBdr>
      </w:pPr>
      <w:r>
        <w:t>5. GES 86 exige primera respuesta inmediata hasta 72 horas y seguimiento dentro de 35 días; fuera de esa ventana, la necesidad clínica continúa.</w:t>
      </w:r>
    </w:p>
    <w:p>
      <w:pPr>
        <w:pStyle w:val="Heading1"/>
      </w:pPr>
      <w:r>
        <w:t>Bibliografía esencial</w:t>
      </w:r>
    </w:p>
    <w:p>
      <w:pPr>
        <w:pStyle w:val="Bibliography"/>
      </w:pPr>
      <w:r>
        <w:t xml:space="preserve">• American Psychiatric Association. </w:t>
      </w:r>
      <w:r>
        <w:rPr>
          <w:i/>
        </w:rPr>
        <w:t>Diagnostic and Statistical Manual of Mental Disorders: DSM-5-TR</w:t>
      </w:r>
      <w:r>
        <w:t xml:space="preserve">. American Psychiatric Association Publishing; 2022. </w:t>
      </w:r>
      <w:hyperlink r:id="rId49">
        <w:r>
          <w:rPr>
            <w:color w:val="246B8E"/>
            <w:u w:val="single"/>
          </w:rPr>
          <w:t>DOI</w:t>
        </w:r>
      </w:hyperlink>
      <w:r>
        <w:t>.</w:t>
      </w:r>
    </w:p>
    <w:p>
      <w:pPr>
        <w:pStyle w:val="Bibliography"/>
      </w:pPr>
      <w:r>
        <w:t xml:space="preserve">• World Health Organization. </w:t>
      </w:r>
      <w:r>
        <w:rPr>
          <w:i/>
        </w:rPr>
        <w:t>Clinical Descriptions and Diagnostic Requirements for ICD-11 Mental, Behavioural and Neurodevelopmental Disorders</w:t>
      </w:r>
      <w:r>
        <w:t xml:space="preserve">. 2024. </w:t>
      </w:r>
      <w:hyperlink r:id="rId69">
        <w:r>
          <w:rPr>
            <w:color w:val="246B8E"/>
            <w:u w:val="single"/>
          </w:rPr>
          <w:t>Publicación oficial</w:t>
        </w:r>
      </w:hyperlink>
      <w:r>
        <w:t>.</w:t>
      </w:r>
    </w:p>
    <w:p>
      <w:pPr>
        <w:pStyle w:val="Bibliography"/>
      </w:pPr>
      <w:r>
        <w:t xml:space="preserve">• National Institute for Health and Care Excellence. </w:t>
      </w:r>
      <w:r>
        <w:rPr>
          <w:i/>
        </w:rPr>
        <w:t>Post-traumatic stress disorder</w:t>
      </w:r>
      <w:r>
        <w:t xml:space="preserve">. NG116; 2018, revisada en 2025. </w:t>
      </w:r>
      <w:hyperlink r:id="rId81">
        <w:r>
          <w:rPr>
            <w:color w:val="246B8E"/>
            <w:u w:val="single"/>
          </w:rPr>
          <w:t>Guía</w:t>
        </w:r>
      </w:hyperlink>
      <w:r>
        <w:t>.</w:t>
      </w:r>
    </w:p>
    <w:p>
      <w:pPr>
        <w:pStyle w:val="Bibliography"/>
      </w:pPr>
      <w:r>
        <w:t xml:space="preserve">• Department of Veterans Affairs &amp; Department of Defense. </w:t>
      </w:r>
      <w:r>
        <w:rPr>
          <w:i/>
        </w:rPr>
        <w:t>VA/DoD Clinical Practice Guideline for Management of Posttraumatic Stress Disorder and Acute Stress Disorder</w:t>
      </w:r>
      <w:r>
        <w:t xml:space="preserve">. Version 4.0; 2023. </w:t>
      </w:r>
      <w:hyperlink r:id="rId82">
        <w:r>
          <w:rPr>
            <w:color w:val="246B8E"/>
            <w:u w:val="single"/>
          </w:rPr>
          <w:t>Guía</w:t>
        </w:r>
      </w:hyperlink>
      <w:r>
        <w:t>.</w:t>
      </w:r>
    </w:p>
    <w:p>
      <w:pPr>
        <w:pStyle w:val="Bibliography"/>
      </w:pPr>
      <w:r>
        <w:t xml:space="preserve">• Bisson JI, Cosgrove S, Lewis C, Roberts NP. Post-traumatic stress disorder. </w:t>
      </w:r>
      <w:r>
        <w:rPr>
          <w:i/>
        </w:rPr>
        <w:t>BMJ</w:t>
      </w:r>
      <w:r>
        <w:t xml:space="preserve">. 2015;351:h6161. </w:t>
      </w:r>
      <w:hyperlink r:id="rId83">
        <w:r>
          <w:rPr>
            <w:color w:val="246B8E"/>
            <w:u w:val="single"/>
          </w:rPr>
          <w:t>DOI</w:t>
        </w:r>
      </w:hyperlink>
      <w:r>
        <w:t>.</w:t>
      </w:r>
    </w:p>
    <w:p>
      <w:pPr>
        <w:pStyle w:val="Bibliography"/>
      </w:pPr>
      <w:r>
        <w:t xml:space="preserve">• Ministerio de Salud de Chile. </w:t>
      </w:r>
      <w:r>
        <w:rPr>
          <w:i/>
        </w:rPr>
        <w:t>GES 86: Atención integral de salud en agresión sexual aguda</w:t>
      </w:r>
      <w:r>
        <w:t xml:space="preserve">. </w:t>
      </w:r>
      <w:hyperlink r:id="rId84">
        <w:r>
          <w:rPr>
            <w:color w:val="246B8E"/>
            <w:u w:val="single"/>
          </w:rPr>
          <w:t>Ficha oficial</w:t>
        </w:r>
      </w:hyperlink>
      <w:r>
        <w:t>.</w:t>
      </w:r>
    </w:p>
    <w:p>
      <w:r>
        <w:br w:type="page"/>
      </w:r>
    </w:p>
    <w:p>
      <w:pPr>
        <w:spacing w:after="480"/>
      </w:pPr>
      <w:r>
        <w:rPr>
          <w:rFonts w:ascii="Calibri" w:hAnsi="Calibri"/>
          <w:b/>
          <w:color w:val="2A8C82"/>
          <w:sz w:val="20"/>
        </w:rPr>
        <w:t>CAPÍTULO 31 · MATERIAL PARA ESTUDIANTES</w:t>
      </w:r>
    </w:p>
    <w:tbl>
      <w:tblPr>
        <w:tblW w:type="auto" w:w="0"/>
        <w:jc w:val="left"/>
        <w:tblLayout w:type="fixed"/>
        <w:tblLook w:firstColumn="1" w:firstRow="1" w:lastColumn="0" w:lastRow="0" w:noHBand="0" w:noVBand="1" w:val="04A0"/>
      </w:tblPr>
      <w:tblGrid>
        <w:gridCol w:w="9648"/>
      </w:tblGrid>
      <w:tr>
        <w:trPr>
          <w:tblHeader w:val="true"/>
        </w:trPr>
        <w:tc>
          <w:tcPr>
            <w:tcW w:type="dxa" w:w="9072"/>
            <w:shd w:fill="173A5E"/>
            <w:tcMar>
              <w:top w:w="120" w:type="dxa"/>
              <w:start w:w="220" w:type="dxa"/>
              <w:bottom w:w="120" w:type="dxa"/>
              <w:end w:w="220" w:type="dxa"/>
            </w:tcMar>
          </w:tcPr>
          <w:p>
            <w:pPr>
              <w:spacing w:after="0"/>
            </w:pPr>
            <w:r>
              <w:rPr>
                <w:rFonts w:ascii="Calibri" w:hAnsi="Calibri"/>
                <w:b/>
                <w:color w:val="FFFFFF"/>
                <w:sz w:val="19"/>
              </w:rPr>
              <w:t>MÓDULO II · PATOLOGÍAS, GES Y TRATAMIENTOS</w:t>
            </w:r>
          </w:p>
        </w:tc>
      </w:tr>
    </w:tbl>
    <w:p>
      <w:pPr>
        <w:pStyle w:val="Title"/>
        <w:spacing w:before="520" w:after="360"/>
        <w:outlineLvl w:val="0"/>
      </w:pPr>
      <w:bookmarkStart w:id="1031" w:name="chapter_31"/>
      <w:r>
        <w:t>Trastornos por consumo de sustancias: evaluación, formulación y tratamiento inicial</w:t>
      </w:r>
      <w:bookmarkEnd w:id="1031"/>
    </w:p>
    <w:p>
      <w:pPr>
        <w:spacing w:after="80"/>
      </w:pPr>
      <w:r>
        <w:rPr>
          <w:rFonts w:ascii="Calibri" w:hAnsi="Calibri"/>
          <w:b/>
          <w:color w:val="246B8E"/>
          <w:sz w:val="26"/>
        </w:rPr>
        <w:t>Programa de Psiquiatría para internos de Medicina</w:t>
      </w:r>
    </w:p>
    <w:p>
      <w:r>
        <w:rPr>
          <w:rFonts w:ascii="Calibri" w:hAnsi="Calibri"/>
          <w:color w:val="6B7280"/>
          <w:sz w:val="22"/>
        </w:rPr>
        <w:t>Lectura complementaria · Chile · Versión final para revisión humana · 2026</w:t>
      </w:r>
    </w:p>
    <w:p/>
    <w:p/>
    <w:p/>
    <w:p/>
    <w:p/>
    <w:tbl>
      <w:tblPr>
        <w:tblW w:type="auto" w:w="0"/>
        <w:jc w:val="left"/>
        <w:tblLayout w:type="fixed"/>
        <w:tblLook w:firstColumn="1" w:firstRow="1" w:lastColumn="0" w:lastRow="0" w:noHBand="0" w:noVBand="1" w:val="04A0"/>
      </w:tblPr>
      <w:tblGrid>
        <w:gridCol w:w="9648"/>
      </w:tblGrid>
      <w:tr>
        <w:trPr>
          <w:tblHeader w:val="true"/>
        </w:trPr>
        <w:tc>
          <w:tcPr>
            <w:tcW w:type="dxa" w:w="9648"/>
            <w:shd w:fill="F3F5F6"/>
            <w:tcBorders>
              <w:start w:val="single" w:sz="18" w:color="2A8C82"/>
            </w:tcBorders>
            <w:tcMar>
              <w:top w:w="160" w:type="dxa"/>
              <w:start w:w="220" w:type="dxa"/>
              <w:bottom w:w="160" w:type="dxa"/>
              <w:end w:w="220" w:type="dxa"/>
            </w:tcMar>
          </w:tcPr>
          <w:p>
            <w:pPr>
              <w:spacing w:after="0"/>
            </w:pPr>
            <w:r>
              <w:rPr>
                <w:rFonts w:ascii="Calibri" w:hAnsi="Calibri"/>
                <w:i/>
                <w:color w:val="6B7280"/>
                <w:sz w:val="18"/>
              </w:rPr>
              <w:t>Versión docente final para revisión humana. Material propuesto y contextualizado a Chile; no corresponde a un programa oficial de la Pontificia Universidad Católica de Chile ni sustituye protocolos locales, supervisión clínica o evaluación especializada. Fuentes revisadas al 15 de agosto de 2026.</w:t>
            </w:r>
          </w:p>
        </w:tc>
      </w:tr>
    </w:tbl>
    <w:p>
      <w:r>
        <w:br w:type="page"/>
      </w:r>
    </w:p>
    <w:tbl>
      <w:tblPr>
        <w:tblW w:type="auto" w:w="0"/>
        <w:jc w:val="center"/>
        <w:tblLayout w:type="autofit"/>
        <w:tblLook w:firstColumn="1" w:firstRow="1" w:lastColumn="0" w:lastRow="0" w:noHBand="0" w:noVBand="1" w:val="04A0"/>
      </w:tblPr>
      <w:tblGrid>
        <w:gridCol w:w="9648"/>
      </w:tblGrid>
      <w:tr>
        <w:trPr>
          <w:tblHeader w:val="true"/>
        </w:trPr>
        <w:tc>
          <w:tcPr>
            <w:tcW w:type="dxa" w:w="9648"/>
            <w:vAlign w:val="center"/>
            <w:shd w:fill="EAF3F7"/>
            <w:tcBorders>
              <w:start w:val="single" w:sz="14" w:color="2A8C82"/>
            </w:tcBorders>
            <w:tcMar>
              <w:top w:w="130" w:type="dxa"/>
              <w:start w:w="190" w:type="dxa"/>
              <w:bottom w:w="130" w:type="dxa"/>
              <w:end w:w="190" w:type="dxa"/>
            </w:tcMar>
          </w:tcPr>
          <w:p>
            <w:pPr>
              <w:spacing w:after="0"/>
            </w:pPr>
            <w:r>
              <w:rPr>
                <w:b/>
                <w:color w:val="173A5E"/>
              </w:rPr>
              <w:t xml:space="preserve">PREGUNTA CLÍNICA  </w:t>
            </w:r>
            <w:r>
              <w:t>¿Cómo pasar de preguntar “qué consume” a comprender el patrón, su función, los riesgos y la intervención que la persona necesita?</w:t>
            </w:r>
          </w:p>
        </w:tc>
      </w:tr>
    </w:tbl>
    <w:p>
      <w:pPr>
        <w:spacing w:after="0"/>
      </w:pPr>
    </w:p>
    <w:tbl>
      <w:tblPr>
        <w:tblW w:type="auto" w:w="0"/>
        <w:jc w:val="center"/>
        <w:tblLayout w:type="autofit"/>
        <w:tblLook w:firstColumn="1" w:firstRow="1" w:lastColumn="0" w:lastRow="0" w:noHBand="0" w:noVBand="1" w:val="04A0"/>
      </w:tblPr>
      <w:tblGrid>
        <w:gridCol w:w="9648"/>
      </w:tblGrid>
      <w:tr>
        <w:trPr>
          <w:tblHeader w:val="true"/>
        </w:trPr>
        <w:tc>
          <w:tcPr>
            <w:tcW w:type="dxa" w:w="9648"/>
            <w:vAlign w:val="center"/>
            <w:shd w:fill="EAF6F3"/>
            <w:tcBorders>
              <w:start w:val="single" w:sz="14" w:color="2A8C82"/>
            </w:tcBorders>
            <w:tcMar>
              <w:top w:w="130" w:type="dxa"/>
              <w:start w:w="190" w:type="dxa"/>
              <w:bottom w:w="130" w:type="dxa"/>
              <w:end w:w="190" w:type="dxa"/>
            </w:tcMar>
          </w:tcPr>
          <w:p>
            <w:pPr>
              <w:spacing w:after="0"/>
            </w:pPr>
            <w:r>
              <w:rPr>
                <w:b/>
                <w:color w:val="173A5E"/>
              </w:rPr>
              <w:t xml:space="preserve">IDEA CENTRAL  </w:t>
            </w:r>
            <w:r>
              <w:t>una sustancia positiva en orina demuestra exposición, no diagnóstico ni causalidad. El trastorno se reconoce por el patrón longitudinal, pérdida de control, prioridad del consumo, persistencia pese al daño y deterioro.</w:t>
            </w:r>
          </w:p>
        </w:tc>
      </w:tr>
    </w:tbl>
    <w:p>
      <w:pPr>
        <w:spacing w:after="0"/>
      </w:pPr>
    </w:p>
    <w:p>
      <w:pPr>
        <w:pStyle w:val="Heading1"/>
      </w:pPr>
      <w:r>
        <w:t>Por qué importa</w:t>
      </w:r>
    </w:p>
    <w:p>
      <w:r>
        <w:t>Preguntar sólo “¿consume drogas?” suele producir respuestas incompletas. Omite alcohol, nicotina, fármacos prescritos o comprados, vías de administración, combinaciones y función subjetiva. Además, el estigma favorece que el paciente minimice y que el clínico moralice justo cuando necesita datos precisos.</w:t>
      </w:r>
    </w:p>
    <w:p>
      <w:r>
        <w:t>El consumo puede presentarse como ansiedad, psicosis, depresión, insomnio, trauma, dolor, problemas académicos o una urgencia médica. El interno debe reconocer el cuadro agudo sin perder la oportunidad de formular el problema longitudinal y activar la red chilena correspondiente.</w:t>
      </w:r>
    </w:p>
    <w:p>
      <w:pPr>
        <w:pStyle w:val="Heading1"/>
      </w:pPr>
      <w:r>
        <w:t>Objetivos de aprendizaje</w:t>
      </w:r>
    </w:p>
    <w:p>
      <w:pPr>
        <w:keepNext/>
      </w:pPr>
      <w:r>
        <w:t>Al terminar este capítulo, el estudiante podrá:</w:t>
      </w:r>
    </w:p>
    <w:p>
      <w:pPr>
        <w:spacing w:after="60" w:line="288" w:lineRule="auto"/>
        <w:ind w:left="432" w:hanging="216"/>
      </w:pPr>
      <w:r>
        <w:t>1. Explorar sistemáticamente alcohol, nicotina, cannabis, estimulantes, opioides, sedantes y nuevas sustancias.</w:t>
      </w:r>
    </w:p>
    <w:p>
      <w:pPr>
        <w:spacing w:after="60" w:line="288" w:lineRule="auto"/>
        <w:ind w:left="432" w:hanging="216"/>
      </w:pPr>
      <w:r>
        <w:t>2. Diferenciar consumo de riesgo, consumo perjudicial, trastorno por consumo, intoxicación y abstinencia.</w:t>
      </w:r>
    </w:p>
    <w:p>
      <w:pPr>
        <w:spacing w:after="60" w:line="288" w:lineRule="auto"/>
        <w:ind w:left="432" w:hanging="216"/>
      </w:pPr>
      <w:r>
        <w:t>3. Utilizar EBBA, AUDIT y ASSIST como herramientas de pesquisa, no como diagnóstico automático.</w:t>
      </w:r>
    </w:p>
    <w:p>
      <w:pPr>
        <w:spacing w:after="60" w:line="288" w:lineRule="auto"/>
        <w:ind w:left="432" w:hanging="216"/>
      </w:pPr>
      <w:r>
        <w:t>4. Relacionar temporalmente sustancias y síntomas psiquiátricos.</w:t>
      </w:r>
    </w:p>
    <w:p>
      <w:pPr>
        <w:spacing w:after="60" w:line="288" w:lineRule="auto"/>
        <w:ind w:left="432" w:hanging="216"/>
      </w:pPr>
      <w:r>
        <w:t>5. Realizar una intervención breve no moralizante y acordar reducción de daños.</w:t>
      </w:r>
    </w:p>
    <w:p>
      <w:pPr>
        <w:spacing w:after="60" w:line="288" w:lineRule="auto"/>
        <w:ind w:left="432" w:hanging="216"/>
      </w:pPr>
      <w:r>
        <w:t>6. Seleccionar manejo ambulatorio, derivación, desintoxicación supervisada o urgencia.</w:t>
      </w:r>
    </w:p>
    <w:p>
      <w:pPr>
        <w:spacing w:after="60" w:line="288" w:lineRule="auto"/>
        <w:ind w:left="432" w:hanging="216"/>
      </w:pPr>
      <w:r>
        <w:t>7. Explicar con precisión el acceso y plazo del GES 53.</w:t>
      </w:r>
    </w:p>
    <w:p>
      <w:pPr>
        <w:pStyle w:val="Heading1"/>
      </w:pPr>
      <w:r>
        <w:t>Caso clínico</w:t>
      </w:r>
    </w:p>
    <w:p>
      <w:pPr>
        <w:shd w:fill="EAF3F7"/>
        <w:keepNext/>
        <w:keepLines/>
        <w:pBdr>
          <w:left w:val="single" w:sz="8" w:space="8" w:color="246B8E"/>
        </w:pBdr>
        <w:ind w:left="173" w:right="86"/>
      </w:pPr>
      <w:r>
        <w:t>Sebastián, de 19 años, consulta acompañado por su madre después de abandonar sus estudios. Consume cannabis a diario, cocaína algunos fines de semana, alcohol en episodios intensos y clonazepam sin receta “para bajar”. Afirma que sólo el cannabis es importante y que podría suspenderlo cuando quisiera. Su madre exige “un toxicológico que diga qué tiene”. Sebastián duerme poco, desconfía de compañeros y tuvo una crisis suicida durante una intoxicación alcohólica.</w:t>
      </w:r>
    </w:p>
    <w:p>
      <w:pPr>
        <w:shd w:fill="EAF3F7"/>
        <w:keepLines/>
        <w:pBdr>
          <w:left w:val="single" w:sz="8" w:space="8" w:color="246B8E"/>
        </w:pBdr>
        <w:ind w:left="173" w:right="86"/>
      </w:pPr>
      <w:r>
        <w:t>El caso exige analizar cada sustancia y la combinación. Un panel toxicológico no resolverá la pérdida de control, la causalidad de los síntomas ni el nivel de atención.</w:t>
      </w:r>
    </w:p>
    <w:p>
      <w:pPr>
        <w:pStyle w:val="Heading1"/>
      </w:pPr>
      <w:r>
        <w:t>Una entrevista que produzca información útil</w:t>
      </w:r>
    </w:p>
    <w:p>
      <w:r>
        <w:t>Para cada sustancia se pregunta nombre y producto, cantidad aproximada, vía, frecuencia, velocidad, contexto, última exposición y combinaciones. Se reconstruyen edad de inicio, progresión, períodos de abstinencia, intentos de cambio y circunstancias de recaída. En medicamentos se registra indicación original, fuente actual y escalamiento de dosis.</w:t>
      </w:r>
    </w:p>
    <w:p>
      <w:r>
        <w:t>La función subjetiva es clínicamente central: placer, pertenencia, energía, sueño, analgesia, regulación emocional, evitación de recuerdos o alivio de abstinencia. Comprenderla no legitima el daño; permite proponer alternativas que compitan con el consumo. También se investigan consecuencias médicas, psiquiátricas, familiares, académicas, laborales, económicas y legales.</w:t>
      </w:r>
    </w:p>
    <w:p>
      <w:r>
        <w:t>Conviene normalizar la pregunta: “Se lo pregunto a todas las personas porque alcohol, cannabis y medicamentos pueden cambiar el sueño y el ánimo”. Se garantiza confidencialidad dentro de sus límites y se conversa inicialmente a solas cuando es apropiado. La heteroanamnesis se solicita con consentimiento o se utiliza conforme a las excepciones de seguridad y la normativa aplicable.</w:t>
      </w:r>
    </w:p>
    <w:p>
      <w:pPr>
        <w:pStyle w:val="Heading1"/>
      </w:pPr>
      <w:r>
        <w:t>Conceptos que no deben mezclarse</w:t>
      </w:r>
    </w:p>
    <w:p>
      <w:r>
        <w:t xml:space="preserve">El consumo ocasional no equivale por sí solo a trastorno. </w:t>
      </w:r>
      <w:r>
        <w:rPr>
          <w:b/>
        </w:rPr>
        <w:t>Consumo de riesgo</w:t>
      </w:r>
      <w:r>
        <w:t xml:space="preserve"> describe una exposición que aumenta la probabilidad de daño, aunque éste todavía no se demuestre. </w:t>
      </w:r>
      <w:r>
        <w:rPr>
          <w:b/>
        </w:rPr>
        <w:t>Consumo perjudicial</w:t>
      </w:r>
      <w:r>
        <w:t xml:space="preserve"> implica daño físico o mental atribuible al patrón. Los sistemas diagnósticos contemporáneos describen el trastorno o dependencia mediante pérdida de control, prioridad creciente del consumo y persistencia pese a consecuencias, además de fenómenos como tolerancia o abstinencia en algunos casos.</w:t>
      </w:r>
    </w:p>
    <w:p>
      <w:r>
        <w:t>Intoxicación y abstinencia son estados agudos. Pueden coexistir con un trastorno longitudinal, pero no lo prueban automáticamente. Tolerancia y dependencia fisiológica durante un tratamiento prescrito tampoco son sinónimos de adicción: la diferencia está en la conducta, control y consecuencias. En policonsumo se formula cada sustancia y también el sistema: por ejemplo, estimulante para activarse y benzodiazepina para amortiguar la caída.</w:t>
      </w:r>
    </w:p>
    <w:p>
      <w:pPr>
        <w:pStyle w:val="Heading1"/>
      </w:pPr>
      <w:r>
        <w:t>Pesquisa: EBBA, AUDIT y ASSIST</w:t>
      </w:r>
    </w:p>
    <w:p>
      <w:r>
        <w:t xml:space="preserve">La </w:t>
      </w:r>
      <w:r>
        <w:rPr>
          <w:b/>
        </w:rPr>
        <w:t>Escala Breve de Beber Anormal (EBBA)</w:t>
      </w:r>
      <w:r>
        <w:t xml:space="preserve"> es un instrumento chileno de siete preguntas dicotómicas sobre conflictos interpersonales, pérdida de vínculos, deseo de disminuir, consumo mayor al previsto, uso matinal, lagunas de memoria y molestia ante críticas. Dos o más respuestas afirmativas sugieren alta probabilidad de beber problemático. Sus limitaciones son relevantes: la validación original incluyó 408 hombres hospitalizados en servicios de un hospital general y utilizó categorías diagnósticas históricas. Por ello, no deben extrapolarse mecánicamente sus propiedades a mujeres, adolescentes o población comunitaria. No clasifica gravedad ni reemplaza la entrevista. Puede conservar utilidad docente o local, pero el protocolo asistencial debe definir cuándo preferir herramientas actuales.</w:t>
      </w:r>
    </w:p>
    <w:p>
      <w:r>
        <w:t xml:space="preserve">El </w:t>
      </w:r>
      <w:r>
        <w:rPr>
          <w:b/>
        </w:rPr>
        <w:t>AUDIT-C</w:t>
      </w:r>
      <w:r>
        <w:t xml:space="preserve"> pesquisa brevemente consumo de alcohol; el </w:t>
      </w:r>
      <w:r>
        <w:rPr>
          <w:b/>
        </w:rPr>
        <w:t>AUDIT</w:t>
      </w:r>
      <w:r>
        <w:t xml:space="preserve"> amplía la exploración de patrón y consecuencias. El </w:t>
      </w:r>
      <w:r>
        <w:rPr>
          <w:b/>
        </w:rPr>
        <w:t>ASSIST</w:t>
      </w:r>
      <w:r>
        <w:t xml:space="preserve"> de la OMS cubre alcohol, tabaco y otras sustancias y vincula el resultado con intervención breve o derivación. Un punto de corte orienta riesgo, no establece por sí solo un diagnóstico. En adolescentes pueden utilizarse instrumentos específicos como CRAFFT según edad y protocolo.</w:t>
      </w:r>
    </w:p>
    <w:p>
      <w:r>
        <w:t>Además se pregunta por conducción, maquinaria, trabajo en altura, sexo sin protección, violencia, embarazo, hijos a cargo y acceso a armas. Se pesquisan depresión, manía, psicosis, trauma, TDAH, dolor, insomnio y conducta suicida.</w:t>
      </w:r>
    </w:p>
    <w:p>
      <w:pPr>
        <w:pStyle w:val="Heading1"/>
      </w:pPr>
      <w:r>
        <w:t>Examen clínico y límites del toxicológico</w:t>
      </w:r>
    </w:p>
    <w:p>
      <w:r>
        <w:t>En urgencia se evalúan signos vitales, conciencia, pupilas, piel, hidratación, coordinación, focalidad y signos de inyección. El examen mental se dirige a atención, psicomotricidad, percepción, pensamiento, afecto, impulsividad, juicio e insight. Glicemia, ECG, electrolitos, función renal o hepática, CK, troponina, embarazo e imágenes se solicitan según toxíndrome y diagnóstico diferencial, no como batería fija.</w:t>
      </w:r>
    </w:p>
    <w:p>
      <w:r>
        <w:t>Una prueba de orina positiva indica exposición dentro de una ventana variable. No demuestra intoxicación actual, dependencia, causalidad de una psicosis ni incapacidad laboral. Una prueba negativa tampoco descarta sustancias fuera del panel, exposición remota, compuestos sintéticos o muestras alteradas. Benzodiazepinas y opioides específicos pueden no detectarse en inmunoensayos generales. Antes de solicitar el examen se define qué decisión cambiará y se explican sus límites; no se usa como detector de honestidad.</w:t>
      </w:r>
    </w:p>
    <w:p>
      <w:pPr>
        <w:pStyle w:val="Heading1"/>
      </w:pPr>
      <w:r>
        <w:t>¿Trastorno primario, inducido o coexistente?</w:t>
      </w:r>
    </w:p>
    <w:p>
      <w:r>
        <w:t>La respuesta surge de una línea temporal: inicio y término de la exposición, aparición de síntomas, persistencia durante abstinencia y episodios independientes. Intoxicación puede causar ansiedad, agitación, psicosis, desinhibición o alteración de conciencia. Abstinencia puede producir insomnio, ansiedad, depresión, dolor, convulsiones o delirium según la sustancia.</w:t>
      </w:r>
    </w:p>
    <w:p>
      <w:r>
        <w:t>Un cuadro inducido puede ser grave y revelar vulnerabilidad. A la inversa, un trastorno primario puede aumentar el consumo como intento de automanejo. Con frecuencia ambos coexisten. Se trata la urgencia sin esperar una certeza etiológica y se revisa el diagnóstico después de un período suficiente de observación; “es por drogas” nunca debe cerrar prematuramente el caso.</w:t>
      </w:r>
    </w:p>
    <w:p>
      <w:pPr>
        <w:pStyle w:val="Heading1"/>
      </w:pPr>
      <w:r>
        <w:t>Intervención inicial y reducción de daños</w:t>
      </w:r>
    </w:p>
    <w:p>
      <w:r>
        <w:t>La intervención breve parte con permiso: se explora qué valora y qué le preocupa del consumo, se ofrece retroalimentación concreta y se vincula el patrón con sus metas. Se refleja ambivalencia sin discutir. Preguntas sobre importancia y confianza ayudan a identificar disposición y obstáculos, pero no son pruebas de motivación.</w:t>
      </w:r>
    </w:p>
    <w:p>
      <w:r>
        <w:t>El objetivo puede ser abstinencia, reducción o una medida inmediata: no mezclar depresores, no conducir, no consumir a solas, disminuir potencia, disponer de naloxona donde sea pertinente, usar material estéril o retomar atención. Reducción de daños y tratamiento orientado a abstinencia no son enemigos; se ajustan al peligro y a la etapa de cambio. Una recaída aporta información sobre desencadenantes y no cancela el derecho a tratamiento.</w:t>
      </w:r>
    </w:p>
    <w:p>
      <w:r>
        <w:t>Se deriva a urgencia ante compromiso de conciencia, depresión respiratoria, convulsión, dolor torácico, hipertermia, agitación grave, psicosis peligrosa, intento suicida, sobredosis o abstinencia complicada. La desintoxicación supervisada se indica por riesgo médico, abstinencia grave previa, comorbilidad inestable o soporte insuficiente. Derivar implica definir responsable, plazo, tratamiento puente y traspaso; no entregar una dirección y desaparecer.</w:t>
      </w:r>
    </w:p>
    <w:p>
      <w:pPr>
        <w:pStyle w:val="Heading1"/>
      </w:pPr>
      <w:r>
        <w:t>GES 53 en Chile</w:t>
      </w:r>
    </w:p>
    <w:p>
      <w:r>
        <w:t xml:space="preserve">El GES 53 cubre a personas </w:t>
      </w:r>
      <w:r>
        <w:rPr>
          <w:b/>
        </w:rPr>
        <w:t>menores de 20 años</w:t>
      </w:r>
      <w:r>
        <w:t xml:space="preserve"> con confirmación diagnóstica de </w:t>
      </w:r>
      <w:r>
        <w:rPr>
          <w:b/>
        </w:rPr>
        <w:t>consumo perjudicial o dependencia de alcohol o drogas de riesgo bajo a moderado</w:t>
      </w:r>
      <w:r>
        <w:t>. Otorga acceso a tratamiento y seguimiento, continuidad si la persona ya está en tratamiento y nueva atención ante recaída.</w:t>
      </w:r>
    </w:p>
    <w:p>
      <w:r>
        <w:t xml:space="preserve">El tratamiento debe comenzar </w:t>
      </w:r>
      <w:r>
        <w:rPr>
          <w:b/>
        </w:rPr>
        <w:t>dentro de 10 días desde la confirmación diagnóstica</w:t>
      </w:r>
      <w:r>
        <w:t>. No cubre por esta vía el simple consumo de riesgo sin el diagnóstico señalado ni los cuadros de severidad que requieren otro nivel de complejidad. Esto no significa negar atención: una dependencia grave, intoxicación, abstinencia peligrosa o crisis suicida se resuelve por la vía clínica pertinente, sin esperar el plazo GES.</w:t>
      </w:r>
    </w:p>
    <w:p>
      <w:r>
        <w:t>En Sebastián, la edad permite evaluar GES 53, pero primero deben definirse diagnóstico y nivel de riesgo. El plan integra policonsumo, posible psicosis, suicidalidad, apoyo familiar, reducción inmediata de mezclas y tratamiento longitudinal.</w:t>
      </w:r>
    </w:p>
    <w:p>
      <w:pPr>
        <w:pStyle w:val="Heading1"/>
      </w:pPr>
      <w:r>
        <w:t>Errores frecuentes</w:t>
      </w:r>
    </w:p>
    <w:p>
      <w:pPr>
        <w:pStyle w:val="ListBullet"/>
      </w:pPr>
      <w:r>
        <w:t>Preguntar sólo por “drogas” y omitir alcohol, nicotina o fármacos.</w:t>
      </w:r>
    </w:p>
    <w:p>
      <w:pPr>
        <w:pStyle w:val="ListBullet"/>
      </w:pPr>
      <w:r>
        <w:t>Diagnosticar dependencia por tolerancia o por un toxicológico positivo.</w:t>
      </w:r>
    </w:p>
    <w:p>
      <w:pPr>
        <w:pStyle w:val="ListBullet"/>
      </w:pPr>
      <w:r>
        <w:t>Atribuir todo síntoma mental a sustancias sin cronología.</w:t>
      </w:r>
    </w:p>
    <w:p>
      <w:pPr>
        <w:pStyle w:val="ListBullet"/>
      </w:pPr>
      <w:r>
        <w:t>Exigir abstinencia como condición para ofrecer ayuda.</w:t>
      </w:r>
    </w:p>
    <w:p>
      <w:pPr>
        <w:pStyle w:val="ListBullet"/>
      </w:pPr>
      <w:r>
        <w:t>Confundir entrevista motivacional con sermón persuasivo.</w:t>
      </w:r>
    </w:p>
    <w:p>
      <w:pPr>
        <w:pStyle w:val="ListBullet"/>
      </w:pPr>
      <w:r>
        <w:t>Dar de alta una intoxicación sin evaluar suicidio, violencia y soporte.</w:t>
      </w:r>
    </w:p>
    <w:p>
      <w:pPr>
        <w:pStyle w:val="ListBullet"/>
      </w:pPr>
      <w:r>
        <w:t>Presentar GES 53 como cobertura de todo consumo en menores de 20 años.</w:t>
      </w:r>
    </w:p>
    <w:p>
      <w:pPr>
        <w:pStyle w:val="Heading1"/>
      </w:pPr>
      <w:r>
        <w:t>Para recordar</w:t>
      </w:r>
    </w:p>
    <w:p>
      <w:pPr>
        <w:spacing w:after="60" w:line="288" w:lineRule="auto"/>
        <w:ind w:left="432" w:hanging="216"/>
        <w:shd w:fill="EAF6F3"/>
        <w:keepNext/>
        <w:keepLines/>
        <w:pBdr>
          <w:left w:val="single" w:sz="8" w:space="8" w:color="2A8C82"/>
        </w:pBdr>
      </w:pPr>
      <w:r>
        <w:t>1. Pregunte qué, cuánto, cómo, cuándo, para qué y con qué consecuencias.</w:t>
      </w:r>
    </w:p>
    <w:p>
      <w:pPr>
        <w:spacing w:after="60" w:line="288" w:lineRule="auto"/>
        <w:ind w:left="432" w:hanging="216"/>
        <w:shd w:fill="EAF6F3"/>
        <w:keepNext/>
        <w:keepLines/>
        <w:pBdr>
          <w:left w:val="single" w:sz="8" w:space="8" w:color="2A8C82"/>
        </w:pBdr>
      </w:pPr>
      <w:r>
        <w:t>2. El diagnóstico es longitudinal y funcional.</w:t>
      </w:r>
    </w:p>
    <w:p>
      <w:pPr>
        <w:spacing w:after="60" w:line="288" w:lineRule="auto"/>
        <w:ind w:left="432" w:hanging="216"/>
        <w:shd w:fill="EAF6F3"/>
        <w:keepNext/>
        <w:keepLines/>
        <w:pBdr>
          <w:left w:val="single" w:sz="8" w:space="8" w:color="2A8C82"/>
        </w:pBdr>
      </w:pPr>
      <w:r>
        <w:t>3. EBBA, AUDIT y ASSIST pesquisan; no reemplazan la evaluación.</w:t>
      </w:r>
    </w:p>
    <w:p>
      <w:pPr>
        <w:spacing w:after="60" w:line="288" w:lineRule="auto"/>
        <w:ind w:left="432" w:hanging="216"/>
        <w:shd w:fill="EAF6F3"/>
        <w:keepNext/>
        <w:keepLines/>
        <w:pBdr>
          <w:left w:val="single" w:sz="8" w:space="8" w:color="2A8C82"/>
        </w:pBdr>
      </w:pPr>
      <w:r>
        <w:t>4. Un toxicológico demuestra exposición, no causalidad ni gravedad.</w:t>
      </w:r>
    </w:p>
    <w:p>
      <w:pPr>
        <w:spacing w:after="60" w:line="288" w:lineRule="auto"/>
        <w:ind w:left="432" w:hanging="216"/>
        <w:shd w:fill="EAF6F3"/>
        <w:keepLines/>
        <w:pBdr>
          <w:left w:val="single" w:sz="8" w:space="8" w:color="2A8C82"/>
        </w:pBdr>
      </w:pPr>
      <w:r>
        <w:t>5. GES 53 exige ser menor de 20 años, un trastorno de riesgo bajo a moderado confirmado y tratamiento dentro de 10 días.</w:t>
      </w:r>
    </w:p>
    <w:p>
      <w:pPr>
        <w:pStyle w:val="Heading1"/>
      </w:pPr>
      <w:r>
        <w:t>Bibliografía esencial</w:t>
      </w:r>
    </w:p>
    <w:p>
      <w:pPr>
        <w:pStyle w:val="Bibliography"/>
      </w:pPr>
      <w:r>
        <w:t xml:space="preserve">• World Health Organization. </w:t>
      </w:r>
      <w:r>
        <w:rPr>
          <w:i/>
        </w:rPr>
        <w:t>Clinical descriptions and diagnostic requirements for ICD-11 mental, behavioural and neurodevelopmental disorders</w:t>
      </w:r>
      <w:r>
        <w:t xml:space="preserve">. 2024. </w:t>
      </w:r>
      <w:hyperlink r:id="rId14">
        <w:r>
          <w:rPr>
            <w:color w:val="246B8E"/>
            <w:u w:val="single"/>
          </w:rPr>
          <w:t>Publicación</w:t>
        </w:r>
      </w:hyperlink>
      <w:r>
        <w:t>.</w:t>
      </w:r>
    </w:p>
    <w:p>
      <w:pPr>
        <w:pStyle w:val="Bibliography"/>
      </w:pPr>
      <w:r>
        <w:t xml:space="preserve">• World Health Organization. </w:t>
      </w:r>
      <w:r>
        <w:rPr>
          <w:i/>
        </w:rPr>
        <w:t>The Alcohol, Smoking and Substance Involvement Screening Test (ASSIST): manual for use in primary care</w:t>
      </w:r>
      <w:r>
        <w:t xml:space="preserve">. 2010. </w:t>
      </w:r>
      <w:hyperlink r:id="rId85">
        <w:r>
          <w:rPr>
            <w:color w:val="246B8E"/>
            <w:u w:val="single"/>
          </w:rPr>
          <w:t>Manual</w:t>
        </w:r>
      </w:hyperlink>
      <w:r>
        <w:t>.</w:t>
      </w:r>
    </w:p>
    <w:p>
      <w:pPr>
        <w:pStyle w:val="Bibliography"/>
      </w:pPr>
      <w:r>
        <w:t xml:space="preserve">• World Health Organization. </w:t>
      </w:r>
      <w:r>
        <w:rPr>
          <w:i/>
        </w:rPr>
        <w:t>AUDIT: The Alcohol Use Disorders Identification Test—guidelines for use in primary health care</w:t>
      </w:r>
      <w:r>
        <w:t xml:space="preserve">. 2nd ed. 2001. </w:t>
      </w:r>
      <w:hyperlink r:id="rId86">
        <w:r>
          <w:rPr>
            <w:color w:val="246B8E"/>
            <w:u w:val="single"/>
          </w:rPr>
          <w:t>Manual</w:t>
        </w:r>
      </w:hyperlink>
      <w:r>
        <w:t>.</w:t>
      </w:r>
    </w:p>
    <w:p>
      <w:pPr>
        <w:pStyle w:val="Bibliography"/>
      </w:pPr>
      <w:r>
        <w:t xml:space="preserve">• Ministerio de Salud de Chile. </w:t>
      </w:r>
      <w:r>
        <w:rPr>
          <w:i/>
        </w:rPr>
        <w:t>GES 53: Consumo perjudicial o dependencia de riesgo bajo a moderado de alcohol y drogas en personas menores de 20 años</w:t>
      </w:r>
      <w:r>
        <w:t xml:space="preserve">. </w:t>
      </w:r>
      <w:hyperlink r:id="rId87">
        <w:r>
          <w:rPr>
            <w:color w:val="246B8E"/>
            <w:u w:val="single"/>
          </w:rPr>
          <w:t>Ficha oficial</w:t>
        </w:r>
      </w:hyperlink>
      <w:r>
        <w:t>.</w:t>
      </w:r>
    </w:p>
    <w:p>
      <w:pPr>
        <w:pStyle w:val="Bibliography"/>
      </w:pPr>
      <w:r>
        <w:t xml:space="preserve">• Department of Veterans Affairs &amp; Department of Defense. </w:t>
      </w:r>
      <w:r>
        <w:rPr>
          <w:i/>
        </w:rPr>
        <w:t>VA/DoD Clinical Practice Guideline for the Management of Substance Use Disorders</w:t>
      </w:r>
      <w:r>
        <w:t xml:space="preserve">. 2021. </w:t>
      </w:r>
      <w:hyperlink r:id="rId88">
        <w:r>
          <w:rPr>
            <w:color w:val="246B8E"/>
            <w:u w:val="single"/>
          </w:rPr>
          <w:t>Guía</w:t>
        </w:r>
      </w:hyperlink>
      <w:r>
        <w:t>.</w:t>
      </w:r>
    </w:p>
    <w:p>
      <w:pPr>
        <w:pStyle w:val="Bibliography"/>
      </w:pPr>
      <w:r>
        <w:t xml:space="preserve">• Orpinas P, Valdés M, Pemjean A, Florenzano R. </w:t>
      </w:r>
      <w:r>
        <w:rPr>
          <w:i/>
        </w:rPr>
        <w:t>Validación de una escala breve para la detección de beber anormal (EBBA)</w:t>
      </w:r>
      <w:r>
        <w:t xml:space="preserve">. 1991. </w:t>
      </w:r>
      <w:hyperlink r:id="rId89">
        <w:r>
          <w:rPr>
            <w:color w:val="246B8E"/>
            <w:u w:val="single"/>
          </w:rPr>
          <w:t>Texto completo aportado por los autores</w:t>
        </w:r>
      </w:hyperlink>
      <w:r>
        <w:t>.</w:t>
      </w:r>
    </w:p>
    <w:p>
      <w:r>
        <w:br w:type="page"/>
      </w:r>
    </w:p>
    <w:p>
      <w:pPr>
        <w:spacing w:after="480"/>
      </w:pPr>
      <w:r>
        <w:rPr>
          <w:rFonts w:ascii="Calibri" w:hAnsi="Calibri"/>
          <w:b/>
          <w:color w:val="2A8C82"/>
          <w:sz w:val="20"/>
        </w:rPr>
        <w:t>CAPÍTULO 32 · MATERIAL PARA ESTUDIANTES</w:t>
      </w:r>
    </w:p>
    <w:tbl>
      <w:tblPr>
        <w:tblW w:type="auto" w:w="0"/>
        <w:jc w:val="left"/>
        <w:tblLayout w:type="fixed"/>
        <w:tblLook w:firstColumn="1" w:firstRow="1" w:lastColumn="0" w:lastRow="0" w:noHBand="0" w:noVBand="1" w:val="04A0"/>
      </w:tblPr>
      <w:tblGrid>
        <w:gridCol w:w="9648"/>
      </w:tblGrid>
      <w:tr>
        <w:trPr>
          <w:tblHeader w:val="true"/>
        </w:trPr>
        <w:tc>
          <w:tcPr>
            <w:tcW w:type="dxa" w:w="9072"/>
            <w:shd w:fill="173A5E"/>
            <w:tcMar>
              <w:top w:w="120" w:type="dxa"/>
              <w:start w:w="220" w:type="dxa"/>
              <w:bottom w:w="120" w:type="dxa"/>
              <w:end w:w="220" w:type="dxa"/>
            </w:tcMar>
          </w:tcPr>
          <w:p>
            <w:pPr>
              <w:spacing w:after="0"/>
            </w:pPr>
            <w:r>
              <w:rPr>
                <w:rFonts w:ascii="Calibri" w:hAnsi="Calibri"/>
                <w:b/>
                <w:color w:val="FFFFFF"/>
                <w:sz w:val="19"/>
              </w:rPr>
              <w:t>MÓDULO II · PATOLOGÍAS, GES Y TRATAMIENTOS</w:t>
            </w:r>
          </w:p>
        </w:tc>
      </w:tr>
    </w:tbl>
    <w:p>
      <w:pPr>
        <w:pStyle w:val="Title"/>
        <w:spacing w:before="520" w:after="360"/>
        <w:outlineLvl w:val="0"/>
      </w:pPr>
      <w:bookmarkStart w:id="1032" w:name="chapter_32"/>
      <w:r>
        <w:t>Alcohol: intoxicación, abstinencia, dependencia y tratamiento longitudinal</w:t>
      </w:r>
      <w:bookmarkEnd w:id="1032"/>
    </w:p>
    <w:p>
      <w:pPr>
        <w:spacing w:after="80"/>
      </w:pPr>
      <w:r>
        <w:rPr>
          <w:rFonts w:ascii="Calibri" w:hAnsi="Calibri"/>
          <w:b/>
          <w:color w:val="246B8E"/>
          <w:sz w:val="26"/>
        </w:rPr>
        <w:t>Programa de Psiquiatría para internos de Medicina</w:t>
      </w:r>
    </w:p>
    <w:p>
      <w:r>
        <w:rPr>
          <w:rFonts w:ascii="Calibri" w:hAnsi="Calibri"/>
          <w:color w:val="6B7280"/>
          <w:sz w:val="22"/>
        </w:rPr>
        <w:t>Lectura complementaria · Chile · Versión final para revisión humana · 2026</w:t>
      </w:r>
    </w:p>
    <w:p/>
    <w:p/>
    <w:p/>
    <w:p/>
    <w:p/>
    <w:tbl>
      <w:tblPr>
        <w:tblW w:type="auto" w:w="0"/>
        <w:jc w:val="left"/>
        <w:tblLayout w:type="fixed"/>
        <w:tblLook w:firstColumn="1" w:firstRow="1" w:lastColumn="0" w:lastRow="0" w:noHBand="0" w:noVBand="1" w:val="04A0"/>
      </w:tblPr>
      <w:tblGrid>
        <w:gridCol w:w="9648"/>
      </w:tblGrid>
      <w:tr>
        <w:trPr>
          <w:tblHeader w:val="true"/>
        </w:trPr>
        <w:tc>
          <w:tcPr>
            <w:tcW w:type="dxa" w:w="9648"/>
            <w:shd w:fill="F3F5F6"/>
            <w:tcBorders>
              <w:start w:val="single" w:sz="18" w:color="2A8C82"/>
            </w:tcBorders>
            <w:tcMar>
              <w:top w:w="160" w:type="dxa"/>
              <w:start w:w="220" w:type="dxa"/>
              <w:bottom w:w="160" w:type="dxa"/>
              <w:end w:w="220" w:type="dxa"/>
            </w:tcMar>
          </w:tcPr>
          <w:p>
            <w:pPr>
              <w:spacing w:after="0"/>
            </w:pPr>
            <w:r>
              <w:rPr>
                <w:rFonts w:ascii="Calibri" w:hAnsi="Calibri"/>
                <w:i/>
                <w:color w:val="6B7280"/>
                <w:sz w:val="18"/>
              </w:rPr>
              <w:t>Versión docente final para revisión humana. Material propuesto y contextualizado a Chile; no corresponde a un programa oficial de la Pontificia Universidad Católica de Chile ni sustituye protocolos locales, supervisión clínica o evaluación especializada. Fuentes revisadas al 15 de agosto de 2026.</w:t>
            </w:r>
          </w:p>
        </w:tc>
      </w:tr>
    </w:tbl>
    <w:p>
      <w:r>
        <w:br w:type="page"/>
      </w:r>
    </w:p>
    <w:tbl>
      <w:tblPr>
        <w:tblW w:type="auto" w:w="0"/>
        <w:jc w:val="center"/>
        <w:tblLayout w:type="autofit"/>
        <w:tblLook w:firstColumn="1" w:firstRow="1" w:lastColumn="0" w:lastRow="0" w:noHBand="0" w:noVBand="1" w:val="04A0"/>
      </w:tblPr>
      <w:tblGrid>
        <w:gridCol w:w="9648"/>
      </w:tblGrid>
      <w:tr>
        <w:trPr>
          <w:tblHeader w:val="true"/>
        </w:trPr>
        <w:tc>
          <w:tcPr>
            <w:tcW w:type="dxa" w:w="9648"/>
            <w:vAlign w:val="center"/>
            <w:shd w:fill="EAF3F7"/>
            <w:tcBorders>
              <w:start w:val="single" w:sz="14" w:color="2A8C82"/>
            </w:tcBorders>
            <w:tcMar>
              <w:top w:w="130" w:type="dxa"/>
              <w:start w:w="190" w:type="dxa"/>
              <w:bottom w:w="130" w:type="dxa"/>
              <w:end w:w="190" w:type="dxa"/>
            </w:tcMar>
          </w:tcPr>
          <w:p>
            <w:pPr>
              <w:spacing w:after="0"/>
            </w:pPr>
            <w:r>
              <w:rPr>
                <w:b/>
                <w:color w:val="173A5E"/>
              </w:rPr>
              <w:t xml:space="preserve">PREGUNTA CLÍNICA  </w:t>
            </w:r>
            <w:r>
              <w:t>¿Cómo reconocer las urgencias relacionadas con alcohol y convertir una atención aguda en una puerta de entrada a tratamiento sostenido?</w:t>
            </w:r>
          </w:p>
        </w:tc>
      </w:tr>
    </w:tbl>
    <w:p>
      <w:pPr>
        <w:spacing w:after="0"/>
      </w:pPr>
    </w:p>
    <w:tbl>
      <w:tblPr>
        <w:tblW w:type="auto" w:w="0"/>
        <w:jc w:val="center"/>
        <w:tblLayout w:type="autofit"/>
        <w:tblLook w:firstColumn="1" w:firstRow="1" w:lastColumn="0" w:lastRow="0" w:noHBand="0" w:noVBand="1" w:val="04A0"/>
      </w:tblPr>
      <w:tblGrid>
        <w:gridCol w:w="9648"/>
      </w:tblGrid>
      <w:tr>
        <w:trPr>
          <w:tblHeader w:val="true"/>
        </w:trPr>
        <w:tc>
          <w:tcPr>
            <w:tcW w:type="dxa" w:w="9648"/>
            <w:vAlign w:val="center"/>
            <w:shd w:fill="EAF6F3"/>
            <w:tcBorders>
              <w:start w:val="single" w:sz="14" w:color="2A8C82"/>
            </w:tcBorders>
            <w:tcMar>
              <w:top w:w="130" w:type="dxa"/>
              <w:start w:w="190" w:type="dxa"/>
              <w:bottom w:w="130" w:type="dxa"/>
              <w:end w:w="190" w:type="dxa"/>
            </w:tcMar>
          </w:tcPr>
          <w:p>
            <w:pPr>
              <w:spacing w:after="0"/>
            </w:pPr>
            <w:r>
              <w:rPr>
                <w:b/>
                <w:color w:val="173A5E"/>
              </w:rPr>
              <w:t xml:space="preserve">IDEA CENTRAL  </w:t>
            </w:r>
            <w:r>
              <w:t>una alcoholemia positiva no explica automáticamente una alteración de conciencia. Intoxicación, trauma, hipoglicemia, abstinencia, déficit de tiamina, enfermedad médica y riesgo suicida deben evaluarse en paralelo.</w:t>
            </w:r>
          </w:p>
        </w:tc>
      </w:tr>
    </w:tbl>
    <w:p>
      <w:pPr>
        <w:spacing w:after="0"/>
      </w:pPr>
    </w:p>
    <w:p>
      <w:pPr>
        <w:pStyle w:val="Heading1"/>
      </w:pPr>
      <w:r>
        <w:t>Por qué importa</w:t>
      </w:r>
    </w:p>
    <w:p>
      <w:r>
        <w:t>El alcohol puede producir desinhibición y ataxia, pero también coexistir con traumatismo craneal, sepsis, hemorragia, intoxicación mixta o encefalopatía de Wernicke. Horas después, la misma persona puede iniciar una abstinencia potencialmente mortal. El error clásico es “dejarla dormir” y descubrir tarde que no estaba sólo ebria.</w:t>
      </w:r>
    </w:p>
    <w:p>
      <w:r>
        <w:t>La desintoxicación, además, no trata el trastorno por consumo. Si la atención termina al desaparecer el temblor, se pierde la oportunidad de reducir recaídas, enfermedad hepática, violencia, suicidio y nuevas urgencias.</w:t>
      </w:r>
    </w:p>
    <w:p>
      <w:pPr>
        <w:pStyle w:val="Heading1"/>
      </w:pPr>
      <w:r>
        <w:t>Objetivos de aprendizaje</w:t>
      </w:r>
    </w:p>
    <w:p>
      <w:pPr>
        <w:keepNext/>
      </w:pPr>
      <w:r>
        <w:t>Al terminar este capítulo, el estudiante podrá:</w:t>
      </w:r>
    </w:p>
    <w:p>
      <w:pPr>
        <w:spacing w:after="60" w:line="288" w:lineRule="auto"/>
        <w:ind w:left="432" w:hanging="216"/>
      </w:pPr>
      <w:r>
        <w:t>1. Cuantificar aproximadamente el patrón y reconocer consumo episódico intenso.</w:t>
      </w:r>
    </w:p>
    <w:p>
      <w:pPr>
        <w:spacing w:after="60" w:line="288" w:lineRule="auto"/>
        <w:ind w:left="432" w:hanging="216"/>
      </w:pPr>
      <w:r>
        <w:t>2. Evaluar intoxicación sin cerrar prematuramente el diagnóstico diferencial.</w:t>
      </w:r>
    </w:p>
    <w:p>
      <w:pPr>
        <w:spacing w:after="60" w:line="288" w:lineRule="auto"/>
        <w:ind w:left="432" w:hanging="216"/>
      </w:pPr>
      <w:r>
        <w:t>3. Predecir y reconocer abstinencia, convulsiones y delirium por abstinencia.</w:t>
      </w:r>
    </w:p>
    <w:p>
      <w:pPr>
        <w:spacing w:after="60" w:line="288" w:lineRule="auto"/>
        <w:ind w:left="432" w:hanging="216"/>
      </w:pPr>
      <w:r>
        <w:t>4. Utilizar CIWA-Ar sólo cuando sus supuestos se cumplen.</w:t>
      </w:r>
    </w:p>
    <w:p>
      <w:pPr>
        <w:spacing w:after="60" w:line="288" w:lineRule="auto"/>
        <w:ind w:left="432" w:hanging="216"/>
      </w:pPr>
      <w:r>
        <w:t>5. Indicar tiamina precoz y reconocer encefalopatía de Wernicke.</w:t>
      </w:r>
    </w:p>
    <w:p>
      <w:pPr>
        <w:spacing w:after="60" w:line="288" w:lineRule="auto"/>
        <w:ind w:left="432" w:hanging="216"/>
      </w:pPr>
      <w:r>
        <w:t>6. Seleccionar el nivel de desintoxicación y explicar sus bases farmacológicas.</w:t>
      </w:r>
    </w:p>
    <w:p>
      <w:pPr>
        <w:spacing w:after="60" w:line="288" w:lineRule="auto"/>
        <w:ind w:left="432" w:hanging="216"/>
      </w:pPr>
      <w:r>
        <w:t>7. Describir opciones longitudinales para el trastorno por consumo de alcohol.</w:t>
      </w:r>
    </w:p>
    <w:p>
      <w:pPr>
        <w:pStyle w:val="Heading1"/>
      </w:pPr>
      <w:r>
        <w:t>Caso clínico</w:t>
      </w:r>
    </w:p>
    <w:p>
      <w:pPr>
        <w:shd w:fill="EAF3F7"/>
        <w:keepNext/>
        <w:keepLines/>
        <w:pBdr>
          <w:left w:val="single" w:sz="8" w:space="8" w:color="246B8E"/>
        </w:pBdr>
        <w:ind w:left="173" w:right="86"/>
      </w:pPr>
      <w:r>
        <w:t>Luis, de 52 años, ingresa después de una caída. Consume cerca de un litro de vino más destilados al día. La alcoholemia es positiva, pero está desorientado, atáxico y presenta nistagmo. No se conoce la hora de su última ingesta. Doce horas después desarrolla temblor, diaforesis, ansiedad e hipertensión. Años atrás tuvo una convulsión al intentar dejar de beber.</w:t>
      </w:r>
    </w:p>
    <w:p>
      <w:pPr>
        <w:shd w:fill="EAF3F7"/>
        <w:keepLines/>
        <w:pBdr>
          <w:left w:val="single" w:sz="8" w:space="8" w:color="246B8E"/>
        </w:pBdr>
        <w:ind w:left="173" w:right="86"/>
      </w:pPr>
      <w:r>
        <w:t>En Luis deben abordarse simultáneamente trauma craneal, hipoglicemia, encefalopatía de Wernicke, intoxicación y abstinencia. La alcoholemia no elimina ninguna de esas hipótesis.</w:t>
      </w:r>
    </w:p>
    <w:p>
      <w:pPr>
        <w:pStyle w:val="Heading1"/>
      </w:pPr>
      <w:r>
        <w:t>Medir el consumo sin fingir precisión</w:t>
      </w:r>
    </w:p>
    <w:p>
      <w:r>
        <w:t>Se registran tipo de bebida, volumen, graduación, frecuencia y velocidad. Las medidas domésticas son variables; por ello conviene convertir de forma aproximada a gramos de alcohol o unidades estándar definidas por el protocolo local. Se diferencia consumo diario de episodios intensos, consumo matinal, pérdida de control, lagunas de memoria y períodos sin beber.</w:t>
      </w:r>
    </w:p>
    <w:p>
      <w:r>
        <w:t>El antecedente de abstinencia es decisivo: temblor, alucinaciones, convulsiones, delirium, hospitalizaciones y tratamientos previos. También se revisan benzodiazepinas u otros sedantes, hepatopatía, embarazo, epilepsia, trauma, nutrición, vivienda y disponibilidad de supervisión.</w:t>
      </w:r>
    </w:p>
    <w:p>
      <w:r>
        <w:t>EBBA puede apoyar la pesquisa chilena de beber problemático; AUDIT-C y AUDIT permiten una evaluación estandarizada más comparable. Ninguno sustituye la cuantificación ni diagnostica por sí solo dependencia. En una urgencia se prioriza estabilización y la pesquisa completa puede terminarse después.</w:t>
      </w:r>
    </w:p>
    <w:p>
      <w:pPr>
        <w:pStyle w:val="Heading1"/>
      </w:pPr>
      <w:r>
        <w:t>Intoxicación alcohólica</w:t>
      </w:r>
    </w:p>
    <w:p>
      <w:r>
        <w:t>La intoxicación puede causar desinhibición, alteración del juicio, disartria, nistagmo, ataxia y, en casos graves, depresión de conciencia, vómitos y compromiso ventilatorio. El manejo comienza con vía aérea, respiración, circulación, glicemia y temperatura. Se buscan trauma, aspiración, coingestas, focalidad neurológica, sangrado y sepsis.</w:t>
      </w:r>
    </w:p>
    <w:p>
      <w:r>
        <w:t>La concentración de alcohol no tiene una relación uniforme con la clínica. Una persona con tolerancia puede mantenerse despierta con una cifra alta; un coma desproporcionado obliga a buscar otra causa. La mejoría se demuestra mediante reevaluaciones documentadas de conciencia, marcha, signos vitales y examen neurológico, no por el transcurso del tiempo.</w:t>
      </w:r>
    </w:p>
    <w:p>
      <w:r>
        <w:t>La agitación durante intoxicación se maneja en un ambiente seguro y con mínima coerción, pero primero se descartan hipoxia, hipoglicemia, lesión y mezclas. El riesgo suicida se reconstruye incluso si la conducta ocurrió intoxicado y se reevalúa con suficiente sobriedad. La intoxicación puede desinhibir un plan preexistente; no convierte el acto en irrelevante.</w:t>
      </w:r>
    </w:p>
    <w:p>
      <w:pPr>
        <w:pStyle w:val="Heading1"/>
      </w:pPr>
      <w:r>
        <w:t>Cronología y gravedad de la abstinencia</w:t>
      </w:r>
    </w:p>
    <w:p>
      <w:r>
        <w:t>La abstinencia aparece después de una reducción marcada, no sólo de abstinencia completa. Temblor, ansiedad, insomnio, náuseas, diaforesis, taquicardia e hipertensión suelen comenzar dentro de las primeras horas. Alucinaciones pueden presentarse con conciencia relativamente conservada. Las convulsiones generalizadas suelen ser tempranas. El delirium por abstinencia aparece habitualmente más tarde, con inatención, fluctuación, desorientación, agitación y disautonomía. Estos intervalos orientan, pero no son relojes diagnósticos.</w:t>
      </w:r>
    </w:p>
    <w:p>
      <w:r>
        <w:t xml:space="preserve">Predicen mayor riesgo la abstinencia grave o convulsiones previas, múltiples episodios, consumo intenso sostenido, edad avanzada, embarazo, comorbilidad médica o psiquiátrica, uso concomitante de sedantes y ausencia de apoyo. El fenómeno de </w:t>
      </w:r>
      <w:r>
        <w:rPr>
          <w:i/>
        </w:rPr>
        <w:t>kindling</w:t>
      </w:r>
      <w:r>
        <w:t xml:space="preserve"> describe cómo episodios repetidos pueden sensibilizar el sistema nervioso y aumentar gravedad.</w:t>
      </w:r>
    </w:p>
    <w:p>
      <w:r>
        <w:t>El diferencial incluye delirium por sepsis, trauma, encefalopatía hepática, alteraciones metabólicas, intoxicación anticolinérgica y abstinencia de benzodiazepinas. Un paciente con delirium no debe ser etiquetado “DT” sólo porque bebe.</w:t>
      </w:r>
    </w:p>
    <w:p>
      <w:pPr>
        <w:pStyle w:val="Heading1"/>
      </w:pPr>
      <w:r>
        <w:t>Benzodiazepinas y escalas de síntomas</w:t>
      </w:r>
    </w:p>
    <w:p>
      <w:r>
        <w:t>Las benzodiazepinas son tratamiento de primera línea de la abstinencia moderada o grave y previenen nuevas convulsiones por abstinencia. Pueden utilizarse esquemas guiados por síntomas o dosis programadas según gravedad, contexto, protocolo y capacidad de monitorización. La selección y titulación consideran hepatopatía, edad, ventilación y exposición a otros sedantes.</w:t>
      </w:r>
    </w:p>
    <w:p>
      <w:r>
        <w:t>CIWA-Ar ordena la intensidad de síntomas actuales en pacientes despiertos, comunicativos y evaluables; no predice por sí sola quién desarrollará una abstinencia grave. Es poco fiable en delirium, intubación, barreras importantes de comunicación, lesión cerebral o enfermedad médica que imita sus ítems. Aplicar una cifra precisa a un paciente incapaz de responder crea falsa seguridad. En esas condiciones se requieren evaluación clínica y protocolos apropiados para cuadros graves.</w:t>
      </w:r>
    </w:p>
    <w:p>
      <w:r>
        <w:t>Fenobarbital puede ser útil dentro de protocolos y equipos con experiencia, especialmente en casos seleccionados; su margen de seguridad impide convertirlo en receta universal. Los antipsicóticos no reemplazan benzodiazepinas en delirium por abstinencia y pueden aumentar riesgo de convulsión o arritmia. Si se usan, es como complemento ante síntomas específicos y bajo vigilancia.</w:t>
      </w:r>
    </w:p>
    <w:p>
      <w:pPr>
        <w:pStyle w:val="Heading1"/>
      </w:pPr>
      <w:r>
        <w:t>Tiamina y encefalopatía de Wernicke</w:t>
      </w:r>
    </w:p>
    <w:p>
      <w:r>
        <w:t>La encefalopatía de Wernicke debe sospecharse ante confusión, alteraciones oculomotoras, ataxia, desnutrición o consumo crónico. La tríada completa aparece en una minoría; esperar los tres signos pierde casos tratables. Cuando la sospecha es alta se administra tiamina parenteral precoz, junto con evaluación nutricional, hidratación y corrección de magnesio si corresponde.</w:t>
      </w:r>
    </w:p>
    <w:p>
      <w:r>
        <w:t>La glucosa urgente nunca debe retrasarse en una hipoglicemia mientras se obtiene tiamina. Ambas se administran tan pronto como sea posible. Dosis y duración de tiamina varían según prevención o tratamiento y deben seguir el protocolo institucional. El síndrome de Korsakoff representa un daño amnésico persistente que una intervención oportuna puede ayudar a prevenir.</w:t>
      </w:r>
    </w:p>
    <w:p>
      <w:pPr>
        <w:pStyle w:val="Heading1"/>
      </w:pPr>
      <w:r>
        <w:t>Nivel de atención</w:t>
      </w:r>
    </w:p>
    <w:p>
      <w:r>
        <w:t>El manejo hospitalario se indica ante delirium, convulsiones, inestabilidad, sospecha de Wernicke, comorbilidad relevante, embarazo, alto riesgo de abstinencia complicada o soporte insuficiente. La desintoxicación ambulatoria se reserva para riesgo bajo, evaluación completa, supervisión confiable, acceso a controles y posibilidad real de escalar.</w:t>
      </w:r>
    </w:p>
    <w:p>
      <w:r>
        <w:t>El alta de una intoxicación considera curso clínico, riesgo de abstinencia posterior, lesiones, capacidad, soporte y continuidad. Una persona que despierta puede comenzar a abstenerse horas después. La entrega de pocas dosis supervisadas, cuando el protocolo lo contempla, reduce riesgos de mezcla y mal uso.</w:t>
      </w:r>
    </w:p>
    <w:p>
      <w:pPr>
        <w:pStyle w:val="Heading1"/>
      </w:pPr>
      <w:r>
        <w:t>Tratamiento longitudinal</w:t>
      </w:r>
    </w:p>
    <w:p>
      <w:pPr>
        <w:keepNext/>
      </w:pPr>
      <w:r>
        <w:t>Después de estabilizar se acuerdan metas y se ofrece intervención motivacional, psicoterapia o tratamiento psicosocial, apoyo familiar y manejo de vivienda, empleo o violencia cuando corresponda. La farmacoterapia puede disminuir consumo y recaídas:</w:t>
      </w:r>
    </w:p>
    <w:p>
      <w:pPr>
        <w:pStyle w:val="ListBullet"/>
      </w:pPr>
      <w:r>
        <w:rPr>
          <w:b/>
        </w:rPr>
        <w:t>Naltrexona</w:t>
      </w:r>
      <w:r>
        <w:t xml:space="preserve"> puede reducir recompensa y episodios de consumo intenso. Se revisan uso de opioides, grado de hepatopatía, función hepática y contraindicaciones; la sola etiqueta de “enfermedad hepática” no reemplaza esa evaluación.</w:t>
      </w:r>
    </w:p>
    <w:p>
      <w:pPr>
        <w:pStyle w:val="ListBullet"/>
      </w:pPr>
      <w:r>
        <w:rPr>
          <w:b/>
        </w:rPr>
        <w:t>Acamprosato</w:t>
      </w:r>
      <w:r>
        <w:t xml:space="preserve"> favorece mantención de abstinencia una vez controlada la abstinencia aguda y requiere evaluar función renal y adherencia a varias dosis diarias.</w:t>
      </w:r>
    </w:p>
    <w:p>
      <w:pPr>
        <w:pStyle w:val="ListBullet"/>
      </w:pPr>
      <w:r>
        <w:rPr>
          <w:b/>
        </w:rPr>
        <w:t>Disulfiram</w:t>
      </w:r>
      <w:r>
        <w:t xml:space="preserve"> tiene una utilidad seleccionada cuando existe comprensión, motivación y supervisión. No reduce craving por sí mismo ni debe usarse como castigo.</w:t>
      </w:r>
    </w:p>
    <w:p>
      <w:r>
        <w:t>Otras opciones se consideran según guía, comorbilidad y especialidad. Grupos de ayuda mutua, TCC, prevención de recaídas y manejo integrado de depresión, trauma y ansiedad pueden complementar. Los síntomas afectivos se revisan durante la reducción del alcohol sin negar tratamiento cuando son graves o persistentes.</w:t>
      </w:r>
    </w:p>
    <w:p>
      <w:r>
        <w:t>Algunas poblaciones requieren adaptar el plan. En embarazo se recomienda evitar alcohol y coordinar manejo obstétrico y de adicciones; una abstinencia no tratada también supone riesgo. En personas mayores aumentan caídas, interacciones, deterioro cognitivo y sensibilidad a sedantes. En hepatopatía deben distinguirse intoxicación, abstinencia, encefalopatía hepática y delirium multifactorial, además de ajustar medicamentos. La meta no es aplicar el mismo algoritmo con letra más pequeña, sino conservar los principios modificando seguridad y monitorización.</w:t>
      </w:r>
    </w:p>
    <w:p>
      <w:r>
        <w:t>En Luis, la secuencia correcta es estabilización, estudio de trauma y causas de delirium, tiamina, prevención y tratamiento de abstinencia, y enlace a tratamiento del trastorno. Retirar síntomas agudos sin continuidad dejaría intacto el problema principal.</w:t>
      </w:r>
    </w:p>
    <w:p>
      <w:pPr>
        <w:pStyle w:val="Heading1"/>
      </w:pPr>
      <w:r>
        <w:t>Errores frecuentes</w:t>
      </w:r>
    </w:p>
    <w:p>
      <w:pPr>
        <w:pStyle w:val="ListBullet"/>
      </w:pPr>
      <w:r>
        <w:t>Explicar toda confusión por una alcoholemia positiva.</w:t>
      </w:r>
    </w:p>
    <w:p>
      <w:pPr>
        <w:pStyle w:val="ListBullet"/>
      </w:pPr>
      <w:r>
        <w:t>“Dejar dormir” sin controles clínicos seriados.</w:t>
      </w:r>
    </w:p>
    <w:p>
      <w:pPr>
        <w:pStyle w:val="ListBullet"/>
      </w:pPr>
      <w:r>
        <w:t>Usar CIWA-Ar en delirium o incapacidad de comunicación.</w:t>
      </w:r>
    </w:p>
    <w:p>
      <w:pPr>
        <w:pStyle w:val="ListBullet"/>
      </w:pPr>
      <w:r>
        <w:t>Tratar delirium por abstinencia sólo con antipsicóticos.</w:t>
      </w:r>
    </w:p>
    <w:p>
      <w:pPr>
        <w:pStyle w:val="ListBullet"/>
      </w:pPr>
      <w:r>
        <w:t>Retrasar glucosa urgente por esperar tiamina.</w:t>
      </w:r>
    </w:p>
    <w:p>
      <w:pPr>
        <w:pStyle w:val="ListBullet"/>
      </w:pPr>
      <w:r>
        <w:t>Dar de alta sin estimar riesgo de abstinencia posterior.</w:t>
      </w:r>
    </w:p>
    <w:p>
      <w:pPr>
        <w:pStyle w:val="ListBullet"/>
      </w:pPr>
      <w:r>
        <w:t>Confundir desintoxicación con tratamiento de la dependencia.</w:t>
      </w:r>
    </w:p>
    <w:p>
      <w:pPr>
        <w:pStyle w:val="Heading1"/>
      </w:pPr>
      <w:r>
        <w:t>Para recordar</w:t>
      </w:r>
    </w:p>
    <w:p>
      <w:pPr>
        <w:spacing w:after="60" w:line="288" w:lineRule="auto"/>
        <w:ind w:left="432" w:hanging="216"/>
        <w:shd w:fill="EAF6F3"/>
        <w:keepNext/>
        <w:keepLines/>
        <w:pBdr>
          <w:left w:val="single" w:sz="8" w:space="8" w:color="2A8C82"/>
        </w:pBdr>
      </w:pPr>
      <w:r>
        <w:t>1. Alcohol positivo no cierra el diagnóstico diferencial.</w:t>
      </w:r>
    </w:p>
    <w:p>
      <w:pPr>
        <w:spacing w:after="60" w:line="288" w:lineRule="auto"/>
        <w:ind w:left="432" w:hanging="216"/>
        <w:shd w:fill="EAF6F3"/>
        <w:keepNext/>
        <w:keepLines/>
        <w:pBdr>
          <w:left w:val="single" w:sz="8" w:space="8" w:color="2A8C82"/>
        </w:pBdr>
      </w:pPr>
      <w:r>
        <w:t>2. La abstinencia grave previa es un predictor clínico mayor.</w:t>
      </w:r>
    </w:p>
    <w:p>
      <w:pPr>
        <w:spacing w:after="60" w:line="288" w:lineRule="auto"/>
        <w:ind w:left="432" w:hanging="216"/>
        <w:shd w:fill="EAF6F3"/>
        <w:keepNext/>
        <w:keepLines/>
        <w:pBdr>
          <w:left w:val="single" w:sz="8" w:space="8" w:color="2A8C82"/>
        </w:pBdr>
      </w:pPr>
      <w:r>
        <w:t>3. El delirium por abstinencia es una emergencia médica tratada principalmente con benzodiazepinas.</w:t>
      </w:r>
    </w:p>
    <w:p>
      <w:pPr>
        <w:spacing w:after="60" w:line="288" w:lineRule="auto"/>
        <w:ind w:left="432" w:hanging="216"/>
        <w:shd w:fill="EAF6F3"/>
        <w:keepNext/>
        <w:keepLines/>
        <w:pBdr>
          <w:left w:val="single" w:sz="8" w:space="8" w:color="2A8C82"/>
        </w:pBdr>
      </w:pPr>
      <w:r>
        <w:t>4. Tiamina precoz puede prevenir discapacidad irreversible.</w:t>
      </w:r>
    </w:p>
    <w:p>
      <w:pPr>
        <w:spacing w:after="60" w:line="288" w:lineRule="auto"/>
        <w:ind w:left="432" w:hanging="216"/>
        <w:shd w:fill="EAF6F3"/>
        <w:keepLines/>
        <w:pBdr>
          <w:left w:val="single" w:sz="8" w:space="8" w:color="2A8C82"/>
        </w:pBdr>
      </w:pPr>
      <w:r>
        <w:t>5. La desintoxicación es el inicio, no el tratamiento completo.</w:t>
      </w:r>
    </w:p>
    <w:p>
      <w:pPr>
        <w:pStyle w:val="Heading1"/>
      </w:pPr>
      <w:r>
        <w:t>Bibliografía esencial</w:t>
      </w:r>
    </w:p>
    <w:p>
      <w:pPr>
        <w:pStyle w:val="Bibliography"/>
      </w:pPr>
      <w:r>
        <w:t xml:space="preserve">• American Society of Addiction Medicine. </w:t>
      </w:r>
      <w:r>
        <w:rPr>
          <w:i/>
        </w:rPr>
        <w:t>The ASAM Clinical Practice Guideline on Alcohol Withdrawal Management</w:t>
      </w:r>
      <w:r>
        <w:t xml:space="preserve">. 2020. </w:t>
      </w:r>
      <w:hyperlink r:id="rId90">
        <w:r>
          <w:rPr>
            <w:color w:val="246B8E"/>
            <w:u w:val="single"/>
          </w:rPr>
          <w:t>Guía</w:t>
        </w:r>
      </w:hyperlink>
      <w:r>
        <w:t>.</w:t>
      </w:r>
    </w:p>
    <w:p>
      <w:pPr>
        <w:pStyle w:val="Bibliography"/>
      </w:pPr>
      <w:r>
        <w:t xml:space="preserve">• World Health Organization. </w:t>
      </w:r>
      <w:r>
        <w:rPr>
          <w:i/>
        </w:rPr>
        <w:t>Management of alcohol withdrawal</w:t>
      </w:r>
      <w:r>
        <w:t xml:space="preserve">. mhGAP Evidence Centre. </w:t>
      </w:r>
      <w:hyperlink r:id="rId91">
        <w:r>
          <w:rPr>
            <w:color w:val="246B8E"/>
            <w:u w:val="single"/>
          </w:rPr>
          <w:t>Recomendaciones</w:t>
        </w:r>
      </w:hyperlink>
      <w:r>
        <w:t>.</w:t>
      </w:r>
    </w:p>
    <w:p>
      <w:pPr>
        <w:pStyle w:val="Bibliography"/>
      </w:pPr>
      <w:r>
        <w:t xml:space="preserve">• Department of Veterans Affairs &amp; Department of Defense. </w:t>
      </w:r>
      <w:r>
        <w:rPr>
          <w:i/>
        </w:rPr>
        <w:t>VA/DoD Clinical Practice Guideline for the Management of Substance Use Disorders</w:t>
      </w:r>
      <w:r>
        <w:t xml:space="preserve">. 2021. </w:t>
      </w:r>
      <w:hyperlink r:id="rId88">
        <w:r>
          <w:rPr>
            <w:color w:val="246B8E"/>
            <w:u w:val="single"/>
          </w:rPr>
          <w:t>Guía</w:t>
        </w:r>
      </w:hyperlink>
      <w:r>
        <w:t>.</w:t>
      </w:r>
    </w:p>
    <w:p>
      <w:pPr>
        <w:pStyle w:val="Bibliography"/>
      </w:pPr>
      <w:r>
        <w:t xml:space="preserve">• National Institute for Health and Care Excellence. </w:t>
      </w:r>
      <w:r>
        <w:rPr>
          <w:i/>
        </w:rPr>
        <w:t>Alcohol-use disorders: diagnosis and management of physical complications</w:t>
      </w:r>
      <w:r>
        <w:t xml:space="preserve">. Clinical guideline CG100. 2010, actualizada. </w:t>
      </w:r>
      <w:hyperlink r:id="rId92">
        <w:r>
          <w:rPr>
            <w:color w:val="246B8E"/>
            <w:u w:val="single"/>
          </w:rPr>
          <w:t>Guía</w:t>
        </w:r>
      </w:hyperlink>
      <w:r>
        <w:t>.</w:t>
      </w:r>
    </w:p>
    <w:p>
      <w:pPr>
        <w:pStyle w:val="Bibliography"/>
      </w:pPr>
      <w:r>
        <w:t xml:space="preserve">• World Health Organization. </w:t>
      </w:r>
      <w:r>
        <w:rPr>
          <w:i/>
        </w:rPr>
        <w:t>AUDIT: The Alcohol Use Disorders Identification Test</w:t>
      </w:r>
      <w:r>
        <w:t xml:space="preserve">. 2nd ed. 2001. </w:t>
      </w:r>
      <w:hyperlink r:id="rId86">
        <w:r>
          <w:rPr>
            <w:color w:val="246B8E"/>
            <w:u w:val="single"/>
          </w:rPr>
          <w:t>Manual</w:t>
        </w:r>
      </w:hyperlink>
      <w:r>
        <w:t>.</w:t>
      </w:r>
    </w:p>
    <w:p>
      <w:r>
        <w:br w:type="page"/>
      </w:r>
    </w:p>
    <w:p>
      <w:pPr>
        <w:spacing w:after="480"/>
      </w:pPr>
      <w:r>
        <w:rPr>
          <w:rFonts w:ascii="Calibri" w:hAnsi="Calibri"/>
          <w:b/>
          <w:color w:val="2A8C82"/>
          <w:sz w:val="20"/>
        </w:rPr>
        <w:t>CAPÍTULO 33 · MATERIAL PARA ESTUDIANTES</w:t>
      </w:r>
    </w:p>
    <w:tbl>
      <w:tblPr>
        <w:tblW w:type="auto" w:w="0"/>
        <w:jc w:val="left"/>
        <w:tblLayout w:type="fixed"/>
        <w:tblLook w:firstColumn="1" w:firstRow="1" w:lastColumn="0" w:lastRow="0" w:noHBand="0" w:noVBand="1" w:val="04A0"/>
      </w:tblPr>
      <w:tblGrid>
        <w:gridCol w:w="9648"/>
      </w:tblGrid>
      <w:tr>
        <w:trPr>
          <w:tblHeader w:val="true"/>
        </w:trPr>
        <w:tc>
          <w:tcPr>
            <w:tcW w:type="dxa" w:w="9072"/>
            <w:shd w:fill="173A5E"/>
            <w:tcMar>
              <w:top w:w="120" w:type="dxa"/>
              <w:start w:w="220" w:type="dxa"/>
              <w:bottom w:w="120" w:type="dxa"/>
              <w:end w:w="220" w:type="dxa"/>
            </w:tcMar>
          </w:tcPr>
          <w:p>
            <w:pPr>
              <w:spacing w:after="0"/>
            </w:pPr>
            <w:r>
              <w:rPr>
                <w:rFonts w:ascii="Calibri" w:hAnsi="Calibri"/>
                <w:b/>
                <w:color w:val="FFFFFF"/>
                <w:sz w:val="19"/>
              </w:rPr>
              <w:t>MÓDULO II · PATOLOGÍAS, GES Y TRATAMIENTOS</w:t>
            </w:r>
          </w:p>
        </w:tc>
      </w:tr>
    </w:tbl>
    <w:p>
      <w:pPr>
        <w:pStyle w:val="Title"/>
        <w:spacing w:before="520" w:after="360"/>
        <w:outlineLvl w:val="0"/>
      </w:pPr>
      <w:bookmarkStart w:id="1033" w:name="chapter_33"/>
      <w:r>
        <w:t>Cannabis: clínica, dependencia y relación con psicosis</w:t>
      </w:r>
      <w:bookmarkEnd w:id="1033"/>
    </w:p>
    <w:p>
      <w:pPr>
        <w:spacing w:after="80"/>
      </w:pPr>
      <w:r>
        <w:rPr>
          <w:rFonts w:ascii="Calibri" w:hAnsi="Calibri"/>
          <w:b/>
          <w:color w:val="246B8E"/>
          <w:sz w:val="26"/>
        </w:rPr>
        <w:t>Programa de Psiquiatría para internos de Medicina</w:t>
      </w:r>
    </w:p>
    <w:p>
      <w:r>
        <w:rPr>
          <w:rFonts w:ascii="Calibri" w:hAnsi="Calibri"/>
          <w:color w:val="6B7280"/>
          <w:sz w:val="22"/>
        </w:rPr>
        <w:t>Lectura complementaria · Chile · Versión final para revisión humana · 2026</w:t>
      </w:r>
    </w:p>
    <w:p/>
    <w:p/>
    <w:p/>
    <w:p/>
    <w:p/>
    <w:tbl>
      <w:tblPr>
        <w:tblW w:type="auto" w:w="0"/>
        <w:jc w:val="left"/>
        <w:tblLayout w:type="fixed"/>
        <w:tblLook w:firstColumn="1" w:firstRow="1" w:lastColumn="0" w:lastRow="0" w:noHBand="0" w:noVBand="1" w:val="04A0"/>
      </w:tblPr>
      <w:tblGrid>
        <w:gridCol w:w="9648"/>
      </w:tblGrid>
      <w:tr>
        <w:trPr>
          <w:tblHeader w:val="true"/>
        </w:trPr>
        <w:tc>
          <w:tcPr>
            <w:tcW w:type="dxa" w:w="9648"/>
            <w:shd w:fill="F3F5F6"/>
            <w:tcBorders>
              <w:start w:val="single" w:sz="18" w:color="2A8C82"/>
            </w:tcBorders>
            <w:tcMar>
              <w:top w:w="160" w:type="dxa"/>
              <w:start w:w="220" w:type="dxa"/>
              <w:bottom w:w="160" w:type="dxa"/>
              <w:end w:w="220" w:type="dxa"/>
            </w:tcMar>
          </w:tcPr>
          <w:p>
            <w:pPr>
              <w:spacing w:after="0"/>
            </w:pPr>
            <w:r>
              <w:rPr>
                <w:rFonts w:ascii="Calibri" w:hAnsi="Calibri"/>
                <w:i/>
                <w:color w:val="6B7280"/>
                <w:sz w:val="18"/>
              </w:rPr>
              <w:t>Versión docente final para revisión humana. Material propuesto y contextualizado a Chile; no corresponde a un programa oficial de la Pontificia Universidad Católica de Chile ni sustituye protocolos locales, supervisión clínica o evaluación especializada. Fuentes revisadas al 15 de agosto de 2026.</w:t>
            </w:r>
          </w:p>
        </w:tc>
      </w:tr>
    </w:tbl>
    <w:p>
      <w:r>
        <w:br w:type="page"/>
      </w:r>
    </w:p>
    <w:tbl>
      <w:tblPr>
        <w:tblW w:type="auto" w:w="0"/>
        <w:jc w:val="center"/>
        <w:tblLayout w:type="autofit"/>
        <w:tblLook w:firstColumn="1" w:firstRow="1" w:lastColumn="0" w:lastRow="0" w:noHBand="0" w:noVBand="1" w:val="04A0"/>
      </w:tblPr>
      <w:tblGrid>
        <w:gridCol w:w="9648"/>
      </w:tblGrid>
      <w:tr>
        <w:trPr>
          <w:tblHeader w:val="true"/>
        </w:trPr>
        <w:tc>
          <w:tcPr>
            <w:tcW w:type="dxa" w:w="9648"/>
            <w:vAlign w:val="center"/>
            <w:shd w:fill="EAF3F7"/>
            <w:tcBorders>
              <w:start w:val="single" w:sz="14" w:color="2A8C82"/>
            </w:tcBorders>
            <w:tcMar>
              <w:top w:w="130" w:type="dxa"/>
              <w:start w:w="190" w:type="dxa"/>
              <w:bottom w:w="130" w:type="dxa"/>
              <w:end w:w="190" w:type="dxa"/>
            </w:tcMar>
          </w:tcPr>
          <w:p>
            <w:pPr>
              <w:spacing w:after="0"/>
            </w:pPr>
            <w:r>
              <w:rPr>
                <w:b/>
                <w:color w:val="173A5E"/>
              </w:rPr>
              <w:t xml:space="preserve">PREGUNTA CLÍNICA  </w:t>
            </w:r>
            <w:r>
              <w:t>¿Cómo evaluar cannabis sin trivializar sus riesgos ni convertir cualquier exposición en la explicación universal del cuadro?</w:t>
            </w:r>
          </w:p>
        </w:tc>
      </w:tr>
    </w:tbl>
    <w:p>
      <w:pPr>
        <w:spacing w:after="0"/>
      </w:pPr>
    </w:p>
    <w:tbl>
      <w:tblPr>
        <w:tblW w:type="auto" w:w="0"/>
        <w:jc w:val="center"/>
        <w:tblLayout w:type="autofit"/>
        <w:tblLook w:firstColumn="1" w:firstRow="1" w:lastColumn="0" w:lastRow="0" w:noHBand="0" w:noVBand="1" w:val="04A0"/>
      </w:tblPr>
      <w:tblGrid>
        <w:gridCol w:w="9648"/>
      </w:tblGrid>
      <w:tr>
        <w:trPr>
          <w:tblHeader w:val="true"/>
        </w:trPr>
        <w:tc>
          <w:tcPr>
            <w:tcW w:type="dxa" w:w="9648"/>
            <w:vAlign w:val="center"/>
            <w:shd w:fill="EAF6F3"/>
            <w:tcBorders>
              <w:start w:val="single" w:sz="14" w:color="2A8C82"/>
            </w:tcBorders>
            <w:tcMar>
              <w:top w:w="130" w:type="dxa"/>
              <w:start w:w="190" w:type="dxa"/>
              <w:bottom w:w="130" w:type="dxa"/>
              <w:end w:w="190" w:type="dxa"/>
            </w:tcMar>
          </w:tcPr>
          <w:p>
            <w:pPr>
              <w:spacing w:after="0"/>
            </w:pPr>
            <w:r>
              <w:rPr>
                <w:b/>
                <w:color w:val="173A5E"/>
              </w:rPr>
              <w:t xml:space="preserve">IDEA CENTRAL  </w:t>
            </w:r>
            <w:r>
              <w:t>“cannabis” no es una dosis homogénea. Los efectos dependen de potencia, cantidad, vía, frecuencia, edad de inicio, combinaciones, vulnerabilidad y relación temporal con los síntomas.</w:t>
            </w:r>
          </w:p>
        </w:tc>
      </w:tr>
    </w:tbl>
    <w:p>
      <w:pPr>
        <w:spacing w:after="0"/>
      </w:pPr>
    </w:p>
    <w:p>
      <w:pPr>
        <w:pStyle w:val="Heading1"/>
      </w:pPr>
      <w:r>
        <w:t>Por qué importa</w:t>
      </w:r>
    </w:p>
    <w:p>
      <w:r>
        <w:t>Dos simplificaciones compiten en la consulta: “es natural, por tanto inocuo” y “todo lo psiquiátrico se debe a la marihuana”. Ambas son clínicamente pobres. Cannabis puede causar intoxicación, pánico, dependencia, abstinencia, hiperémesis y psicosis; también puede ser consumido por una persona con un trastorno primario que requiere tratamiento propio.</w:t>
      </w:r>
    </w:p>
    <w:p>
      <w:r>
        <w:t>La potencia de los productos y las vías han cambiado. Flores, concentrados, comestibles, cannabinoides sintéticos y preparados etiquetados como CBD no son equivalentes. El interno debe preguntar por exposición real y mantener la incertidumbre etiológica cuando los datos todavía no permiten cerrarla.</w:t>
      </w:r>
    </w:p>
    <w:p>
      <w:pPr>
        <w:pStyle w:val="Heading1"/>
      </w:pPr>
      <w:r>
        <w:t>Objetivos de aprendizaje</w:t>
      </w:r>
    </w:p>
    <w:p>
      <w:pPr>
        <w:keepNext/>
      </w:pPr>
      <w:r>
        <w:t>Al terminar este capítulo, el estudiante podrá:</w:t>
      </w:r>
    </w:p>
    <w:p>
      <w:pPr>
        <w:spacing w:after="60" w:line="288" w:lineRule="auto"/>
        <w:ind w:left="432" w:hanging="216"/>
      </w:pPr>
      <w:r>
        <w:t>1. Caracterizar producto, THC, vía, cantidad, frecuencia y edad de inicio.</w:t>
      </w:r>
    </w:p>
    <w:p>
      <w:pPr>
        <w:spacing w:after="60" w:line="288" w:lineRule="auto"/>
        <w:ind w:left="432" w:hanging="216"/>
      </w:pPr>
      <w:r>
        <w:t>2. Reconocer intoxicación, pánico, psicosis, abstinencia e hiperémesis cannabinoide.</w:t>
      </w:r>
    </w:p>
    <w:p>
      <w:pPr>
        <w:spacing w:after="60" w:line="288" w:lineRule="auto"/>
        <w:ind w:left="432" w:hanging="216"/>
      </w:pPr>
      <w:r>
        <w:t>3. Diagnosticar trastorno por consumo mediante patrón y deterioro.</w:t>
      </w:r>
    </w:p>
    <w:p>
      <w:pPr>
        <w:spacing w:after="60" w:line="288" w:lineRule="auto"/>
        <w:ind w:left="432" w:hanging="216"/>
      </w:pPr>
      <w:r>
        <w:t>4. Explicar la asociación entre cannabis y psicosis sin atribuir causalidad individual automática.</w:t>
      </w:r>
    </w:p>
    <w:p>
      <w:pPr>
        <w:spacing w:after="60" w:line="288" w:lineRule="auto"/>
        <w:ind w:left="432" w:hanging="216"/>
      </w:pPr>
      <w:r>
        <w:t>5. Diferenciar provisionalmente psicosis inducida y trastorno psicótico primario.</w:t>
      </w:r>
    </w:p>
    <w:p>
      <w:pPr>
        <w:spacing w:after="60" w:line="288" w:lineRule="auto"/>
        <w:ind w:left="432" w:hanging="216"/>
      </w:pPr>
      <w:r>
        <w:t>6. Ofrecer intervención breve, tratamiento psicosocial y reducción de daños.</w:t>
      </w:r>
    </w:p>
    <w:p>
      <w:pPr>
        <w:pStyle w:val="Heading1"/>
      </w:pPr>
      <w:r>
        <w:t>Caso clínico</w:t>
      </w:r>
    </w:p>
    <w:p>
      <w:pPr>
        <w:shd w:fill="EAF3F7"/>
        <w:keepNext/>
        <w:keepLines/>
        <w:pBdr>
          <w:left w:val="single" w:sz="8" w:space="8" w:color="246B8E"/>
        </w:pBdr>
        <w:ind w:left="173" w:right="86"/>
      </w:pPr>
      <w:r>
        <w:t>Camila, de 23 años, consulta por ideas persecutorias y voces después de aumentar el consumo diario de flores de alta potencia y concentrados. Lleva cuatro noches casi sin dormir. Su hermano tuvo una hospitalización por psicosis. Después de varios días de abstinencia y tratamiento, los síntomas disminuyen pero no desaparecen. Camila sostiene que el cannabis la tranquiliza y que “si fuera la causa, ya estaría bien”.</w:t>
      </w:r>
    </w:p>
    <w:p>
      <w:pPr>
        <w:shd w:fill="EAF3F7"/>
        <w:keepLines/>
        <w:pBdr>
          <w:left w:val="single" w:sz="8" w:space="8" w:color="246B8E"/>
        </w:pBdr>
        <w:ind w:left="173" w:right="86"/>
      </w:pPr>
      <w:r>
        <w:t>La evolución no permite todavía elegir entre una psicosis inducida y un primer episodio primario precipitado o amplificado por cannabis. Sí permite afirmar que requiere tratamiento, abstinencia y seguimiento longitudinal.</w:t>
      </w:r>
    </w:p>
    <w:p>
      <w:pPr>
        <w:pStyle w:val="Heading1"/>
      </w:pPr>
      <w:r>
        <w:t>Qué preguntar cuando alguien dice “fumo marihuana”</w:t>
      </w:r>
    </w:p>
    <w:p>
      <w:r>
        <w:t>Se identifica producto: flores, resina, aceite, concentrado, comestible, vaporizador, preparado de CBD o cannabinoide sintético. Se pregunta potencia declarada o estimada de THC, cantidad, vía, frecuencia, última exposición, combinaciones y fuente. La etiqueta del mercado ilícito puede ser inexacta y la concentración real desconocida.</w:t>
      </w:r>
    </w:p>
    <w:p>
      <w:r>
        <w:t>Los comestibles tienen inicio más lento y efecto más prolongado que la inhalación. La persona puede redosificar antes de percibir el primer efecto y desarrollar una intoxicación mayor de la prevista. Los concentrados pueden entregar dosis elevadas de THC en poco tiempo. Los cannabinoides sintéticos actúan de manera distinta y pueden producir agitación, convulsiones, arritmias, lesión renal o compromiso sistémico; un panel habitual puede no detectarlos.</w:t>
      </w:r>
    </w:p>
    <w:p>
      <w:r>
        <w:t>También se reconstruyen edad de inicio, escalamiento, períodos sin consumir, intentos fallidos de suspender, craving, tiempo dedicado, función del consumo y consecuencias. CBD no produce el mismo efecto intoxicante que THC, pero sus productos no están libres de interacciones, contaminación o rotulación incorrecta.</w:t>
      </w:r>
    </w:p>
    <w:p>
      <w:pPr>
        <w:pStyle w:val="Heading1"/>
      </w:pPr>
      <w:r>
        <w:t>Intoxicación y manejo inicial</w:t>
      </w:r>
    </w:p>
    <w:p>
      <w:r>
        <w:t>Los efectos agudos incluyen euforia o relajación, alteración de percepción temporal, disminución de atención y memoria reciente, deterioro de coordinación y juicio. Pueden aparecer taquicardia, hipotensión ortostática, ansiedad, pánico, despersonalización, paranoia, delirio o alucinaciones. El riesgo de accidentes y conducción alterada persiste aunque la persona se sienta subjetivamente competente.</w:t>
      </w:r>
    </w:p>
    <w:p>
      <w:r>
        <w:t>El manejo de una intoxicación no complicada suele consistir en ambiente de baja estimulación, orientación, hidratación prudente y observación. Se buscan coingestas, trauma, dolor torácico, embarazo, agitación grave, conducta suicida y diagnósticos médicos alternativos. La farmacoterapia sintomática se individualiza; sedar sin evaluar mezclas puede aumentar daño.</w:t>
      </w:r>
    </w:p>
    <w:p>
      <w:r>
        <w:t>La psicosis o agitación peligrosa se trata según gravedad, independientemente de que se sospeche etiología inducida. No corresponde diagnosticar esquizofrenia durante la primera hora de intoxicación ni negar hospitalización porque “se le pasará cuando baje”.</w:t>
      </w:r>
    </w:p>
    <w:p>
      <w:pPr>
        <w:pStyle w:val="Heading1"/>
      </w:pPr>
      <w:r>
        <w:t>Trastorno por consumo y abstinencia</w:t>
      </w:r>
    </w:p>
    <w:p>
      <w:r>
        <w:t>El trastorno se reconoce por dificultad para controlar el consumo, prioridad creciente, persistencia pese al daño, deterioro y fenómenos como tolerancia o abstinencia. Consumo diario no equivale automáticamente a dependencia, pero aumenta la necesidad de explorar función, control y consecuencias.</w:t>
      </w:r>
    </w:p>
    <w:p>
      <w:r>
        <w:t>La abstinencia puede producir irritabilidad, ansiedad, inquietud, insomnio, sueños intensos, menor apetito, ánimo bajo y síntomas físicos leves. Suele comenzar uno o dos días después de suspender, intensificarse durante la primera semana y prolongarse más en consumidores intensivos. Rara vez compromete la vida, pero el insomnio, la disforia y el craving facilitan recaída y pueden agravar riesgo suicida.</w:t>
      </w:r>
    </w:p>
    <w:p>
      <w:r>
        <w:t>El tratamiento principal es psicosocial: entrevista motivacional, terapia cognitivo-conductual y manejo de contingencias donde esté disponible, junto con tratamiento de comorbilidades y apoyo a la red. No existe un medicamento universalmente aprobado que resuelva el trastorno por consumo de cannabis. Los fármacos para síntomas de abstinencia se usan con cautela, por tiempo definido y sin crear otra dependencia.</w:t>
      </w:r>
    </w:p>
    <w:p>
      <w:pPr>
        <w:pStyle w:val="Heading1"/>
      </w:pPr>
      <w:r>
        <w:t>Cannabis y psicosis: qué puede afirmarse</w:t>
      </w:r>
    </w:p>
    <w:p>
      <w:r>
        <w:t>La asociación entre cannabis y psicosis es consistente y muestra un gradiente con inicio temprano, uso frecuente y productos de alto THC. Vulnerabilidad genética, trauma, ambiente, privación de sueño y otras sustancias modifican el riesgo. El consumo puede precipitar, amplificar o adelantar la aparición de un trastorno psicótico en personas vulnerables.</w:t>
      </w:r>
    </w:p>
    <w:p>
      <w:r>
        <w:t>Estos datos poblacionales no permiten calcular qué proporción de la psicosis de una persona fue “causada” por cannabis. Un antecedente familiar aumenta preocupación, no prueba causalidad. A la vez, afirmar que el cannabis sólo revela una enfermedad inevitable también excede la evidencia.</w:t>
      </w:r>
    </w:p>
    <w:p>
      <w:r>
        <w:t>Después de un primer episodio, continuar consumiendo se asocia con más recaídas y peor evolución; el riesgo parece relacionarse también con frecuencia y potencia. Esta es una asociación pronóstica, no una prueba de causalidad para cada recaída. Recomendar suspensión no requiere resolver primero toda la etiología: es una intervención razonable frente a un factor modificable. La conversación debe ser clara y no ideológica, vinculando consumo con sueño, paranoia, memoria, tratamiento y metas de la persona.</w:t>
      </w:r>
    </w:p>
    <w:p>
      <w:pPr>
        <w:pStyle w:val="Heading1"/>
      </w:pPr>
      <w:r>
        <w:t>Psicosis inducida o primaria</w:t>
      </w:r>
    </w:p>
    <w:p>
      <w:r>
        <w:t>La formulación provisional considera relación entre exposición e inicio, persistencia durante abstinencia verificada, síntomas o deterioro previos, episodios independientes, historia familiar y consumo de otras sustancias. Síntomas negativos y cognitivos pueden orientar, pero no son discriminadores absolutos en la fase aguda.</w:t>
      </w:r>
    </w:p>
    <w:p>
      <w:r>
        <w:t>Una mejoría rápida con abstinencia apoya un componente inducido, pero no demuestra benignidad. Parte de quienes presentan una psicosis inicialmente relacionada con sustancias recibe posteriormente un diagnóstico psicótico o bipolar. Por ello se mantiene seguimiento suficiente, se trata el episodio y se revisa la clasificación. El falso dilema “droga o esquizofrenia” puede hacer que se abandone uno de los dos problemas.</w:t>
      </w:r>
    </w:p>
    <w:p>
      <w:pPr>
        <w:pStyle w:val="Heading1"/>
      </w:pPr>
      <w:r>
        <w:t>Hiperémesis y otros daños</w:t>
      </w:r>
    </w:p>
    <w:p>
      <w:r>
        <w:t>El síndrome de hiperémesis cannabinoide se sospecha ante episodios cíclicos de náuseas, vómitos y dolor abdominal en consumo sostenido. Los baños calientes pueden aliviar, pero no son patognomónicos. Se evalúan deshidratación, electrolitos y causas gastrointestinales, metabólicas u obstétricas. El tratamiento preventivo central es la suspensión sostenida del cannabis; reducir sólo la dosis puede no evitar recurrencias.</w:t>
      </w:r>
    </w:p>
    <w:p>
      <w:r>
        <w:t>La combustión irrita vías respiratorias. El consumo durante embarazo o lactancia se desaconseja por posibles riesgos y por la incertidumbre de dosis y productos. En adolescentes, el inicio temprano se relaciona con mayor probabilidad de trastorno por consumo y efectos sobre aprendizaje. En una persona menor de 20 años con consumo perjudicial o dependencia de riesgo bajo a moderado, debe evaluarse acceso al GES 53; el tratamiento garantizado comienza dentro de 10 días desde la confirmación.</w:t>
      </w:r>
    </w:p>
    <w:p>
      <w:pPr>
        <w:pStyle w:val="Heading1"/>
      </w:pPr>
      <w:r>
        <w:t>Intervención clínica</w:t>
      </w:r>
    </w:p>
    <w:p>
      <w:r>
        <w:t>Se explora qué beneficios percibe y qué costos reconoce. Si existe psicosis, embarazo, adolescencia, hiperémesis o deterioro marcado, la recomendación de suspensión debe ser explícita. Si la persona no suspende, se reduce daño evitando alta potencia y concentrados, disminuyendo frecuencia, no mezclando, no conduciendo y no consumiendo a solas. Estas medidas no vuelven seguro el consumo.</w:t>
      </w:r>
    </w:p>
    <w:p>
      <w:r>
        <w:t>En Camila se priorizan seguridad, sueño, tratamiento del primer episodio, abstinencia y participación de su red con consentimiento. La persistencia parcial de síntomas aumenta la necesidad de seguimiento; no autoriza a declarar todavía una etiología definitiva.</w:t>
      </w:r>
    </w:p>
    <w:p>
      <w:pPr>
        <w:pStyle w:val="Heading1"/>
      </w:pPr>
      <w:r>
        <w:t>Errores frecuentes</w:t>
      </w:r>
    </w:p>
    <w:p>
      <w:pPr>
        <w:pStyle w:val="ListBullet"/>
      </w:pPr>
      <w:r>
        <w:t>Tratar todos los productos como equivalentes.</w:t>
      </w:r>
    </w:p>
    <w:p>
      <w:pPr>
        <w:pStyle w:val="ListBullet"/>
      </w:pPr>
      <w:r>
        <w:t>Afirmar que cannabis no produce dependencia.</w:t>
      </w:r>
    </w:p>
    <w:p>
      <w:pPr>
        <w:pStyle w:val="ListBullet"/>
      </w:pPr>
      <w:r>
        <w:t>Diagnosticar un trastorno psicótico primario durante intoxicación sin seguimiento.</w:t>
      </w:r>
    </w:p>
    <w:p>
      <w:pPr>
        <w:pStyle w:val="ListBullet"/>
      </w:pPr>
      <w:r>
        <w:t>Dar por cerrado un cuadro como inducido porque mejoró parcialmente.</w:t>
      </w:r>
    </w:p>
    <w:p>
      <w:pPr>
        <w:pStyle w:val="ListBullet"/>
      </w:pPr>
      <w:r>
        <w:t>Usar historia familiar para afirmar causalidad individual.</w:t>
      </w:r>
    </w:p>
    <w:p>
      <w:pPr>
        <w:pStyle w:val="ListBullet"/>
      </w:pPr>
      <w:r>
        <w:t>Recomendar cannabis de forma general para ansiedad o insomnio sin revisar daños.</w:t>
      </w:r>
    </w:p>
    <w:p>
      <w:pPr>
        <w:pStyle w:val="ListBullet"/>
      </w:pPr>
      <w:r>
        <w:t>Convertir la conversación clínica en debate moral o legislativo.</w:t>
      </w:r>
    </w:p>
    <w:p>
      <w:pPr>
        <w:pStyle w:val="Heading1"/>
      </w:pPr>
      <w:r>
        <w:t>Para recordar</w:t>
      </w:r>
    </w:p>
    <w:p>
      <w:pPr>
        <w:spacing w:after="60" w:line="288" w:lineRule="auto"/>
        <w:ind w:left="432" w:hanging="216"/>
        <w:shd w:fill="EAF6F3"/>
        <w:keepNext/>
        <w:keepLines/>
        <w:pBdr>
          <w:left w:val="single" w:sz="8" w:space="8" w:color="2A8C82"/>
        </w:pBdr>
      </w:pPr>
      <w:r>
        <w:t>1. Potencia, vía, frecuencia y edad de inicio cambian el riesgo.</w:t>
      </w:r>
    </w:p>
    <w:p>
      <w:pPr>
        <w:spacing w:after="60" w:line="288" w:lineRule="auto"/>
        <w:ind w:left="432" w:hanging="216"/>
        <w:shd w:fill="EAF6F3"/>
        <w:keepNext/>
        <w:keepLines/>
        <w:pBdr>
          <w:left w:val="single" w:sz="8" w:space="8" w:color="2A8C82"/>
        </w:pBdr>
      </w:pPr>
      <w:r>
        <w:t>2. Cannabis puede producir dependencia y abstinencia clínicamente relevantes.</w:t>
      </w:r>
    </w:p>
    <w:p>
      <w:pPr>
        <w:spacing w:after="60" w:line="288" w:lineRule="auto"/>
        <w:ind w:left="432" w:hanging="216"/>
        <w:shd w:fill="EAF6F3"/>
        <w:keepNext/>
        <w:keepLines/>
        <w:pBdr>
          <w:left w:val="single" w:sz="8" w:space="8" w:color="2A8C82"/>
        </w:pBdr>
      </w:pPr>
      <w:r>
        <w:t>3. Su asociación con psicosis es real; la atribución causal individual suele permanecer incierta.</w:t>
      </w:r>
    </w:p>
    <w:p>
      <w:pPr>
        <w:spacing w:after="60" w:line="288" w:lineRule="auto"/>
        <w:ind w:left="432" w:hanging="216"/>
        <w:shd w:fill="EAF6F3"/>
        <w:keepNext/>
        <w:keepLines/>
        <w:pBdr>
          <w:left w:val="single" w:sz="8" w:space="8" w:color="2A8C82"/>
        </w:pBdr>
      </w:pPr>
      <w:r>
        <w:t>4. Una psicosis relacionada temporalmente con cannabis requiere tratamiento y seguimiento.</w:t>
      </w:r>
    </w:p>
    <w:p>
      <w:pPr>
        <w:spacing w:after="60" w:line="288" w:lineRule="auto"/>
        <w:ind w:left="432" w:hanging="216"/>
        <w:shd w:fill="EAF6F3"/>
        <w:keepLines/>
        <w:pBdr>
          <w:left w:val="single" w:sz="8" w:space="8" w:color="2A8C82"/>
        </w:pBdr>
      </w:pPr>
      <w:r>
        <w:t>5. Suspender cannabis después de un primer episodio es una intervención pronóstica central.</w:t>
      </w:r>
    </w:p>
    <w:p>
      <w:pPr>
        <w:pStyle w:val="Heading1"/>
      </w:pPr>
      <w:r>
        <w:t>Bibliografía esencial</w:t>
      </w:r>
    </w:p>
    <w:p>
      <w:pPr>
        <w:pStyle w:val="Bibliography"/>
      </w:pPr>
      <w:r>
        <w:t xml:space="preserve">• World Health Organization. </w:t>
      </w:r>
      <w:r>
        <w:rPr>
          <w:i/>
        </w:rPr>
        <w:t>Clinical descriptions and diagnostic requirements for ICD-11 mental, behavioural and neurodevelopmental disorders</w:t>
      </w:r>
      <w:r>
        <w:t xml:space="preserve">. 2024. </w:t>
      </w:r>
      <w:hyperlink r:id="rId14">
        <w:r>
          <w:rPr>
            <w:color w:val="246B8E"/>
            <w:u w:val="single"/>
          </w:rPr>
          <w:t>Publicación</w:t>
        </w:r>
      </w:hyperlink>
      <w:r>
        <w:t>.</w:t>
      </w:r>
    </w:p>
    <w:p>
      <w:pPr>
        <w:pStyle w:val="Bibliography"/>
      </w:pPr>
      <w:r>
        <w:t xml:space="preserve">• Centers for Disease Control and Prevention. </w:t>
      </w:r>
      <w:r>
        <w:rPr>
          <w:i/>
        </w:rPr>
        <w:t>El cannabis y la salud mental</w:t>
      </w:r>
      <w:r>
        <w:t xml:space="preserve">. Actualización 2025. </w:t>
      </w:r>
      <w:hyperlink r:id="rId93">
        <w:r>
          <w:rPr>
            <w:color w:val="246B8E"/>
            <w:u w:val="single"/>
          </w:rPr>
          <w:t>Recurso oficial</w:t>
        </w:r>
      </w:hyperlink>
      <w:r>
        <w:t>.</w:t>
      </w:r>
    </w:p>
    <w:p>
      <w:pPr>
        <w:pStyle w:val="Bibliography"/>
      </w:pPr>
      <w:r>
        <w:t xml:space="preserve">• Centers for Disease Control and Prevention. </w:t>
      </w:r>
      <w:r>
        <w:rPr>
          <w:i/>
        </w:rPr>
        <w:t>El cannabis y la intoxicación</w:t>
      </w:r>
      <w:r>
        <w:t xml:space="preserve">. Actualización 2025. </w:t>
      </w:r>
      <w:hyperlink r:id="rId94">
        <w:r>
          <w:rPr>
            <w:color w:val="246B8E"/>
            <w:u w:val="single"/>
          </w:rPr>
          <w:t>Recurso oficial</w:t>
        </w:r>
      </w:hyperlink>
      <w:r>
        <w:t>.</w:t>
      </w:r>
    </w:p>
    <w:p>
      <w:pPr>
        <w:pStyle w:val="Bibliography"/>
      </w:pPr>
      <w:r>
        <w:t xml:space="preserve">• Department of Veterans Affairs &amp; Department of Defense. </w:t>
      </w:r>
      <w:r>
        <w:rPr>
          <w:i/>
        </w:rPr>
        <w:t>VA/DoD Clinical Practice Guideline for the Management of Substance Use Disorders</w:t>
      </w:r>
      <w:r>
        <w:t xml:space="preserve">. 2021. </w:t>
      </w:r>
      <w:hyperlink r:id="rId88">
        <w:r>
          <w:rPr>
            <w:color w:val="246B8E"/>
            <w:u w:val="single"/>
          </w:rPr>
          <w:t>Guía</w:t>
        </w:r>
      </w:hyperlink>
      <w:r>
        <w:t>.</w:t>
      </w:r>
    </w:p>
    <w:p>
      <w:pPr>
        <w:pStyle w:val="Bibliography"/>
      </w:pPr>
      <w:r>
        <w:t xml:space="preserve">• Ministerio de Salud de Chile. </w:t>
      </w:r>
      <w:r>
        <w:rPr>
          <w:i/>
        </w:rPr>
        <w:t>GES 53: Consumo perjudicial o dependencia de riesgo bajo a moderado de alcohol y drogas en personas menores de 20 años</w:t>
      </w:r>
      <w:r>
        <w:t xml:space="preserve">. </w:t>
      </w:r>
      <w:hyperlink r:id="rId87">
        <w:r>
          <w:rPr>
            <w:color w:val="246B8E"/>
            <w:u w:val="single"/>
          </w:rPr>
          <w:t>Ficha oficial</w:t>
        </w:r>
      </w:hyperlink>
      <w:r>
        <w:t>.</w:t>
      </w:r>
    </w:p>
    <w:p>
      <w:pPr>
        <w:pStyle w:val="Bibliography"/>
      </w:pPr>
      <w:r>
        <w:t xml:space="preserve">• Schoeler T, Monk A, Sami MB, et al. Continued versus discontinued cannabis use in patients with psychosis: a systematic review and meta-analysis. </w:t>
      </w:r>
      <w:r>
        <w:rPr>
          <w:i/>
        </w:rPr>
        <w:t>Lancet Psychiatry</w:t>
      </w:r>
      <w:r>
        <w:t xml:space="preserve">. 2016;3(3):215–225. </w:t>
      </w:r>
      <w:hyperlink r:id="rId95">
        <w:r>
          <w:rPr>
            <w:color w:val="246B8E"/>
            <w:u w:val="single"/>
          </w:rPr>
          <w:t>DOI</w:t>
        </w:r>
      </w:hyperlink>
      <w:r>
        <w:t>.</w:t>
      </w:r>
    </w:p>
    <w:p>
      <w:r>
        <w:br w:type="page"/>
      </w:r>
    </w:p>
    <w:p>
      <w:pPr>
        <w:spacing w:after="480"/>
      </w:pPr>
      <w:r>
        <w:rPr>
          <w:rFonts w:ascii="Calibri" w:hAnsi="Calibri"/>
          <w:b/>
          <w:color w:val="2A8C82"/>
          <w:sz w:val="20"/>
        </w:rPr>
        <w:t>CAPÍTULO 34 · MATERIAL PARA ESTUDIANTES</w:t>
      </w:r>
    </w:p>
    <w:tbl>
      <w:tblPr>
        <w:tblW w:type="auto" w:w="0"/>
        <w:jc w:val="left"/>
        <w:tblLayout w:type="fixed"/>
        <w:tblLook w:firstColumn="1" w:firstRow="1" w:lastColumn="0" w:lastRow="0" w:noHBand="0" w:noVBand="1" w:val="04A0"/>
      </w:tblPr>
      <w:tblGrid>
        <w:gridCol w:w="9648"/>
      </w:tblGrid>
      <w:tr>
        <w:trPr>
          <w:tblHeader w:val="true"/>
        </w:trPr>
        <w:tc>
          <w:tcPr>
            <w:tcW w:type="dxa" w:w="9072"/>
            <w:shd w:fill="173A5E"/>
            <w:tcMar>
              <w:top w:w="120" w:type="dxa"/>
              <w:start w:w="220" w:type="dxa"/>
              <w:bottom w:w="120" w:type="dxa"/>
              <w:end w:w="220" w:type="dxa"/>
            </w:tcMar>
          </w:tcPr>
          <w:p>
            <w:pPr>
              <w:spacing w:after="0"/>
            </w:pPr>
            <w:r>
              <w:rPr>
                <w:rFonts w:ascii="Calibri" w:hAnsi="Calibri"/>
                <w:b/>
                <w:color w:val="FFFFFF"/>
                <w:sz w:val="19"/>
              </w:rPr>
              <w:t>MÓDULO II · PATOLOGÍAS, GES Y TRATAMIENTOS</w:t>
            </w:r>
          </w:p>
        </w:tc>
      </w:tr>
    </w:tbl>
    <w:p>
      <w:pPr>
        <w:pStyle w:val="Title"/>
        <w:spacing w:before="520" w:after="360"/>
        <w:outlineLvl w:val="0"/>
      </w:pPr>
      <w:bookmarkStart w:id="1034" w:name="chapter_34"/>
      <w:r>
        <w:t>Cocaína, anfetaminas, MDMA, alucinógenos y nuevas sustancias psicoactivas</w:t>
      </w:r>
      <w:bookmarkEnd w:id="1034"/>
    </w:p>
    <w:p>
      <w:pPr>
        <w:spacing w:after="80"/>
      </w:pPr>
      <w:r>
        <w:rPr>
          <w:rFonts w:ascii="Calibri" w:hAnsi="Calibri"/>
          <w:b/>
          <w:color w:val="246B8E"/>
          <w:sz w:val="26"/>
        </w:rPr>
        <w:t>Programa de Psiquiatría para internos de Medicina</w:t>
      </w:r>
    </w:p>
    <w:p>
      <w:r>
        <w:rPr>
          <w:rFonts w:ascii="Calibri" w:hAnsi="Calibri"/>
          <w:color w:val="6B7280"/>
          <w:sz w:val="22"/>
        </w:rPr>
        <w:t>Lectura complementaria · Chile · Versión final para revisión humana · 2026</w:t>
      </w:r>
    </w:p>
    <w:p/>
    <w:p/>
    <w:p/>
    <w:p/>
    <w:p/>
    <w:tbl>
      <w:tblPr>
        <w:tblW w:type="auto" w:w="0"/>
        <w:jc w:val="left"/>
        <w:tblLayout w:type="fixed"/>
        <w:tblLook w:firstColumn="1" w:firstRow="1" w:lastColumn="0" w:lastRow="0" w:noHBand="0" w:noVBand="1" w:val="04A0"/>
      </w:tblPr>
      <w:tblGrid>
        <w:gridCol w:w="9648"/>
      </w:tblGrid>
      <w:tr>
        <w:trPr>
          <w:tblHeader w:val="true"/>
        </w:trPr>
        <w:tc>
          <w:tcPr>
            <w:tcW w:type="dxa" w:w="9648"/>
            <w:shd w:fill="F3F5F6"/>
            <w:tcBorders>
              <w:start w:val="single" w:sz="18" w:color="2A8C82"/>
            </w:tcBorders>
            <w:tcMar>
              <w:top w:w="160" w:type="dxa"/>
              <w:start w:w="220" w:type="dxa"/>
              <w:bottom w:w="160" w:type="dxa"/>
              <w:end w:w="220" w:type="dxa"/>
            </w:tcMar>
          </w:tcPr>
          <w:p>
            <w:pPr>
              <w:spacing w:after="0"/>
            </w:pPr>
            <w:r>
              <w:rPr>
                <w:rFonts w:ascii="Calibri" w:hAnsi="Calibri"/>
                <w:i/>
                <w:color w:val="6B7280"/>
                <w:sz w:val="18"/>
              </w:rPr>
              <w:t>Versión docente final para revisión humana. Material propuesto y contextualizado a Chile; no corresponde a un programa oficial de la Pontificia Universidad Católica de Chile ni sustituye protocolos locales, supervisión clínica o evaluación especializada. Fuentes revisadas al 15 de agosto de 2026.</w:t>
            </w:r>
          </w:p>
        </w:tc>
      </w:tr>
    </w:tbl>
    <w:p>
      <w:r>
        <w:br w:type="page"/>
      </w:r>
    </w:p>
    <w:tbl>
      <w:tblPr>
        <w:tblW w:type="auto" w:w="0"/>
        <w:jc w:val="center"/>
        <w:tblLayout w:type="autofit"/>
        <w:tblLook w:firstColumn="1" w:firstRow="1" w:lastColumn="0" w:lastRow="0" w:noHBand="0" w:noVBand="1" w:val="04A0"/>
      </w:tblPr>
      <w:tblGrid>
        <w:gridCol w:w="9648"/>
      </w:tblGrid>
      <w:tr>
        <w:trPr>
          <w:tblHeader w:val="true"/>
        </w:trPr>
        <w:tc>
          <w:tcPr>
            <w:tcW w:type="dxa" w:w="9648"/>
            <w:vAlign w:val="center"/>
            <w:shd w:fill="EAF3F7"/>
            <w:tcBorders>
              <w:start w:val="single" w:sz="14" w:color="2A8C82"/>
            </w:tcBorders>
            <w:tcMar>
              <w:top w:w="130" w:type="dxa"/>
              <w:start w:w="190" w:type="dxa"/>
              <w:bottom w:w="130" w:type="dxa"/>
              <w:end w:w="190" w:type="dxa"/>
            </w:tcMar>
          </w:tcPr>
          <w:p>
            <w:pPr>
              <w:spacing w:after="0"/>
            </w:pPr>
            <w:r>
              <w:rPr>
                <w:b/>
                <w:color w:val="173A5E"/>
              </w:rPr>
              <w:t xml:space="preserve">PREGUNTA CLÍNICA  </w:t>
            </w:r>
            <w:r>
              <w:t>¿Cómo reconocer y tratar el toxíndrome cuando el nombre callejero puede no corresponder a la sustancia realmente ingerida?</w:t>
            </w:r>
          </w:p>
        </w:tc>
      </w:tr>
    </w:tbl>
    <w:p>
      <w:pPr>
        <w:spacing w:after="0"/>
      </w:pPr>
    </w:p>
    <w:tbl>
      <w:tblPr>
        <w:tblW w:type="auto" w:w="0"/>
        <w:jc w:val="center"/>
        <w:tblLayout w:type="autofit"/>
        <w:tblLook w:firstColumn="1" w:firstRow="1" w:lastColumn="0" w:lastRow="0" w:noHBand="0" w:noVBand="1" w:val="04A0"/>
      </w:tblPr>
      <w:tblGrid>
        <w:gridCol w:w="9648"/>
      </w:tblGrid>
      <w:tr>
        <w:trPr>
          <w:tblHeader w:val="true"/>
        </w:trPr>
        <w:tc>
          <w:tcPr>
            <w:tcW w:type="dxa" w:w="9648"/>
            <w:vAlign w:val="center"/>
            <w:shd w:fill="EAF6F3"/>
            <w:tcBorders>
              <w:start w:val="single" w:sz="14" w:color="2A8C82"/>
            </w:tcBorders>
            <w:tcMar>
              <w:top w:w="130" w:type="dxa"/>
              <w:start w:w="190" w:type="dxa"/>
              <w:bottom w:w="130" w:type="dxa"/>
              <w:end w:w="190" w:type="dxa"/>
            </w:tcMar>
          </w:tcPr>
          <w:p>
            <w:pPr>
              <w:spacing w:after="0"/>
            </w:pPr>
            <w:r>
              <w:rPr>
                <w:b/>
                <w:color w:val="173A5E"/>
              </w:rPr>
              <w:t xml:space="preserve">IDEA CENTRAL  </w:t>
            </w:r>
            <w:r>
              <w:t>ante estimulantes y nuevas sustancias se trata primero el síndrome clínico y el riesgo fisiológico. Esperar que el toxicológico identifique una mezcla cambiante puede costar tiempo crítico.</w:t>
            </w:r>
          </w:p>
        </w:tc>
      </w:tr>
    </w:tbl>
    <w:p>
      <w:pPr>
        <w:spacing w:after="0"/>
      </w:pPr>
    </w:p>
    <w:p>
      <w:pPr>
        <w:pStyle w:val="Heading1"/>
      </w:pPr>
      <w:r>
        <w:t>Por qué importa</w:t>
      </w:r>
    </w:p>
    <w:p>
      <w:r>
        <w:t>Agitación, paranoia y conducta extraña pueden parecer una urgencia exclusivamente psiquiátrica. Si coexisten hipertermia, dolor torácico, convulsión o focalidad neurológica, el peligro inmediato es médico. Además, “éxtasis”, “tusi” o “cocaína” describen productos vendidos, no composiciones verificadas.</w:t>
      </w:r>
    </w:p>
    <w:p>
      <w:r>
        <w:t>El interno debe reconocer patrones clínicos, comunicar incertidumbre y reevaluar después de estabilización y sueño. Nombrar con seguridad una sustancia desconocida es menos científico que decir “toxíndrome simpaticomimético compatible con exposición a estimulantes”.</w:t>
      </w:r>
    </w:p>
    <w:p>
      <w:pPr>
        <w:pStyle w:val="Heading1"/>
      </w:pPr>
      <w:r>
        <w:t>Objetivos de aprendizaje</w:t>
      </w:r>
    </w:p>
    <w:p>
      <w:pPr>
        <w:keepNext/>
      </w:pPr>
      <w:r>
        <w:t>Al terminar este capítulo, el estudiante podrá:</w:t>
      </w:r>
    </w:p>
    <w:p>
      <w:pPr>
        <w:spacing w:after="60" w:line="288" w:lineRule="auto"/>
        <w:ind w:left="432" w:hanging="216"/>
      </w:pPr>
      <w:r>
        <w:t>1. Reconocer y diferenciar toxíndromes simpaticomimético, anticolinérgico y serotoninérgico.</w:t>
      </w:r>
    </w:p>
    <w:p>
      <w:pPr>
        <w:spacing w:after="60" w:line="288" w:lineRule="auto"/>
        <w:ind w:left="432" w:hanging="216"/>
      </w:pPr>
      <w:r>
        <w:t>2. Identificar complicaciones cardiovasculares, neurológicas, térmicas y psiquiátricas.</w:t>
      </w:r>
    </w:p>
    <w:p>
      <w:pPr>
        <w:spacing w:after="60" w:line="288" w:lineRule="auto"/>
        <w:ind w:left="432" w:hanging="216"/>
      </w:pPr>
      <w:r>
        <w:t>3. Iniciar manejo de agitación, hipertermia y convulsiones y derivar oportunamente.</w:t>
      </w:r>
    </w:p>
    <w:p>
      <w:pPr>
        <w:spacing w:after="60" w:line="288" w:lineRule="auto"/>
        <w:ind w:left="432" w:hanging="216"/>
      </w:pPr>
      <w:r>
        <w:t>4. Reconocer particularidades de MDMA, psicodélicos y disociativos.</w:t>
      </w:r>
    </w:p>
    <w:p>
      <w:pPr>
        <w:spacing w:after="60" w:line="288" w:lineRule="auto"/>
        <w:ind w:left="432" w:hanging="216"/>
      </w:pPr>
      <w:r>
        <w:t>5. Comprender los límites del toxicológico frente a nuevas sustancias.</w:t>
      </w:r>
    </w:p>
    <w:p>
      <w:pPr>
        <w:spacing w:after="60" w:line="288" w:lineRule="auto"/>
        <w:ind w:left="432" w:hanging="216"/>
      </w:pPr>
      <w:r>
        <w:t>6. Describir la caída de estimulantes y el tratamiento longitudinal basado en evidencia.</w:t>
      </w:r>
    </w:p>
    <w:p>
      <w:pPr>
        <w:pStyle w:val="Heading1"/>
      </w:pPr>
      <w:r>
        <w:t>Caso clínico</w:t>
      </w:r>
    </w:p>
    <w:p>
      <w:pPr>
        <w:shd w:fill="EAF3F7"/>
        <w:keepNext/>
        <w:keepLines/>
        <w:pBdr>
          <w:left w:val="single" w:sz="8" w:space="8" w:color="246B8E"/>
        </w:pBdr>
        <w:ind w:left="173" w:right="86"/>
      </w:pPr>
      <w:r>
        <w:t>Rodrigo, de 29 años, llega desde una fiesta con agitación, temperatura central elevada, taquicardia, hipertensión y conducta persecutoria. Sus amigos dicen que tomó “éxtasis puro”, pero también cocaína, alcohol y un polvo rosado vendido como “tusi”. Tiene clonus en extremidades inferiores y ha bebido varios litros de agua. Un panel rápido resulta positivo para cocaína y negativo para anfetaminas.</w:t>
      </w:r>
    </w:p>
    <w:p>
      <w:pPr>
        <w:shd w:fill="EAF3F7"/>
        <w:keepNext/>
        <w:keepLines/>
        <w:pBdr>
          <w:left w:val="single" w:sz="8" w:space="8" w:color="246B8E"/>
        </w:pBdr>
        <w:ind w:left="173" w:right="86"/>
      </w:pPr>
      <w:r>
        <w:t>El tratamiento no puede esperar la identificación exacta. Rodrigo presenta hipertermia y un toxíndrome mixto posible, con riesgo de hiponatremia, síndrome serotoninérgico y lesión orgánica.</w:t>
      </w:r>
    </w:p>
    <w:p>
      <w:pPr>
        <w:shd w:fill="EAF3F7"/>
        <w:keepLines/>
        <w:pBdr>
          <w:left w:val="single" w:sz="8" w:space="8" w:color="246B8E"/>
        </w:pBdr>
        <w:ind w:left="173" w:right="86"/>
      </w:pPr>
      <w:r>
        <w:t>La entrevista inicial debe ser pragmática: hora y vía de cada exposición, cantidad aproximada, redosificación, fármacos prescritos, suplementos, temperatura ambiental, actividad física y volumen de líquidos. La información de acompañantes puede ser decisiva, pero se registra como relato, no como composición comprobada.</w:t>
      </w:r>
    </w:p>
    <w:p>
      <w:pPr>
        <w:pStyle w:val="Heading1"/>
      </w:pPr>
      <w:r>
        <w:t>Reconocer toxíndromes y alarmas</w:t>
      </w:r>
    </w:p>
    <w:p>
      <w:r>
        <w:t xml:space="preserve">El </w:t>
      </w:r>
      <w:r>
        <w:rPr>
          <w:b/>
        </w:rPr>
        <w:t>simpaticomimético</w:t>
      </w:r>
      <w:r>
        <w:t xml:space="preserve"> combina agitación, ansiedad, hipervigilancia, midriasis, diaforesis, taquicardia, hipertensión e hipertermia. El </w:t>
      </w:r>
      <w:r>
        <w:rPr>
          <w:b/>
        </w:rPr>
        <w:t>anticolinérgico</w:t>
      </w:r>
      <w:r>
        <w:t xml:space="preserve"> puede compartir midriasis, taquicardia y delirium, pero suele mostrar piel y mucosas secas, retención urinaria y reducción de ruidos intestinales. El </w:t>
      </w:r>
      <w:r>
        <w:rPr>
          <w:b/>
        </w:rPr>
        <w:t>serotoninérgico</w:t>
      </w:r>
      <w:r>
        <w:t xml:space="preserve"> agrega actividad neuromuscular característica, como clonus, hiperreflexia y temblor, además de alteraciones autonómicas y mentales.</w:t>
      </w:r>
    </w:p>
    <w:p>
      <w:r>
        <w:t>Los cuadros pueden mezclarse y ninguna lista reemplaza el examen. Dolor torácico, disnea, temperatura elevada, convulsión, déficit focal, rigidez, alteración de conciencia, acidosis o agitación extrema son alarmas. Se evalúan vía aérea, ventilación y circulación, glicemia, temperatura central, ECG y monitorización. Electrolitos, función renal, CK, troponina, gases, coagulación e imágenes se seleccionan por clínica.</w:t>
      </w:r>
    </w:p>
    <w:p>
      <w:r>
        <w:t>Un paciente joven no está protegido de infarto, disección aórtica, accidente cerebrovascular, arritmia, rabdomiólisis o falla multiorgánica. El motivo “crisis de pánico” no debe ocultar el examen cardiovascular y neurológico.</w:t>
      </w:r>
    </w:p>
    <w:p>
      <w:r>
        <w:t>La intensidad conductual tampoco predice por sí sola la gravedad fisiológica. Una persona muy agitada puede conservar parámetros estables, mientras otra aparentemente tranquila puede estar agotada, acidótica o evolucionando a colapso. La reevaluación seriada de temperatura, conciencia, perfusión y ventilación es más segura que una fotografía única.</w:t>
      </w:r>
    </w:p>
    <w:p>
      <w:pPr>
        <w:pStyle w:val="Heading1"/>
      </w:pPr>
      <w:r>
        <w:t>Cocaína y anfetaminas</w:t>
      </w:r>
    </w:p>
    <w:p>
      <w:r>
        <w:t>Cocaína tiene inicio rápido y duración relativamente breve, lo que favorece redosificación. La combinación con alcohol genera cocaetileno y se asocia a mayor toxicidad cardiovascular. Anfetamina y metanfetamina suelen producir efectos más prolongados, privación de sueño y persistencia de paranoia o psicosis.</w:t>
      </w:r>
    </w:p>
    <w:p>
      <w:r>
        <w:t>Además de ansiedad y agitación pueden aparecer pánico, irritabilidad, grandiosidad, estereotipias, formicación, ideas persecutorias y alucinaciones. La psicosis inducida no es necesariamente benigna. Se pregunta por síntomas previos, episodios sin consumo, dosis, sueño y evolución durante abstinencia.</w:t>
      </w:r>
    </w:p>
    <w:p>
      <w:r>
        <w:t>La exposición crónica puede asociarse con pérdida de peso, enfermedad dental, cardiomiopatía, deterioro social e infecciones según vía. Levamisol y otros adulterantes añaden riesgos que el usuario no puede anticipar. El panel urinario puede tener reacciones cruzadas y ventanas limitadas; un resultado negativo no excluye estimulantes sintéticos.</w:t>
      </w:r>
    </w:p>
    <w:p>
      <w:pPr>
        <w:pStyle w:val="Heading1"/>
      </w:pPr>
      <w:r>
        <w:t>Manejo agudo de estimulación e hipertermia</w:t>
      </w:r>
    </w:p>
    <w:p>
      <w:r>
        <w:t>Se reduce estimulación ambiental, se establece monitorización y se evita una confrontación que aumente actividad muscular. Benzodiazepinas constituyen una base frecuente del tratamiento de agitación simpaticomimética, convulsiones e hiperactividad adrenérgica, con titulación y vigilancia ventilatoria. Si persiste psicosis o agitación, un antipsicótico puede utilizarse como complemento valorando temperatura, QT, umbral convulsivo e interacciones.</w:t>
      </w:r>
    </w:p>
    <w:p>
      <w:r>
        <w:t>La hipertermia tóxica requiere enfriamiento externo activo, sedación adecuada y tratamiento de complicaciones. Los antipiréticos no corrigen una producción muscular de calor que no depende del punto de regulación hipotalámico. Se vigilan rabdomiólisis, potasio, función renal, coagulación y acidosis.</w:t>
      </w:r>
    </w:p>
    <w:p>
      <w:r>
        <w:t>Dolor torácico y cambios electrocardiográficos se manejan como urgencia cardiovascular concomitante, no como “ansiedad por cocaína”. La hipertensión extrema, la arritmia o la isquemia requieren coordinación con urgencia, toxicología y cardiología según disponibilidad. La meta inicial es reducir agitación y descarga adrenérgica sin producir depresión respiratoria inadvertida ni retrasar el estudio de una catástrofe vascular.</w:t>
      </w:r>
    </w:p>
    <w:p>
      <w:r>
        <w:t>La contención física prolongada aumenta lucha, catecolaminas, acidosis y calor. Si es imprescindible para evitar daño inmediato, debe ser proporcional, breve, monitorizada y acompañada del tratamiento que permita retirarla. “Calmarlo a la fuerza” sin controlar temperatura ni oxigenación es una intervención peligrosa.</w:t>
      </w:r>
    </w:p>
    <w:p>
      <w:pPr>
        <w:pStyle w:val="Heading1"/>
      </w:pPr>
      <w:r>
        <w:t>MDMA, hiponatremia y síndrome serotoninérgico</w:t>
      </w:r>
    </w:p>
    <w:p>
      <w:r>
        <w:t>MDMA tiene efectos estimulantes, entactógenos y serotoninérgicos. Puede provocar hipertermia, bruxismo, agitación, arritmias, síndrome serotoninérgico y falla orgánica. El riesgo aumenta con otros serotoninérgicos, estimulantes y ambientes calurosos con actividad física intensa.</w:t>
      </w:r>
    </w:p>
    <w:p>
      <w:r>
        <w:t>La hiponatremia puede resultar de secreción inapropiada de hormona antidiurética y consumo excesivo de agua. Cefalea, vómitos, confusión o convulsiones obligan a medir sodio y tratar según gravedad. Recomendar “beber toda el agua posible” es incorrecto; la hidratación debe ser prudente y acorde a pérdidas y condiciones.</w:t>
      </w:r>
    </w:p>
    <w:p>
      <w:r>
        <w:t>La hiponatremia sintomática grave es una emergencia que puede requerir solución salina hipertónica bajo protocolo y controles estrechos, porque tanto la encefalopatía como una corrección inadecuada pueden causar daño. No se debe atribuir una convulsión automáticamente a “sobredosis” sin revisar sodio, temperatura, glucosa y otras causas tratables.</w:t>
      </w:r>
    </w:p>
    <w:p>
      <w:r>
        <w:t>El síndrome serotoninérgico se diagnostica clínicamente por exposición compatible, alteraciones mentales y autonómicas con hiperactividad neuromuscular. Se suspenden agentes serotoninérgicos, se proporciona soporte, sedación y enfriamiento; los casos graves requieren cuidados críticos. No toda hipertermia en una fiesta es un “mal viaje”.</w:t>
      </w:r>
    </w:p>
    <w:p>
      <w:pPr>
        <w:pStyle w:val="Heading1"/>
      </w:pPr>
      <w:r>
        <w:t>Psicodélicos, disociativos y nuevas sustancias</w:t>
      </w:r>
    </w:p>
    <w:p>
      <w:r>
        <w:t>Los psicodélicos clásicos pueden alterar percepción, tiempo, sentido del yo y pensamiento. Un episodio no complicado suele manejarse con ambiente tranquilo, orientación y acompañamiento. Pánico, conducta peligrosa, manía, psicosis persistente o alteraciones perceptivas prolongadas requieren evaluación especializada y descarte de otras sustancias.</w:t>
      </w:r>
    </w:p>
    <w:p>
      <w:r>
        <w:t>Ketamina y otros disociativos producen analgesia, deterioro motor, amnesia y experiencias de separación del cuerpo. Uso repetido puede llevar a trastorno por consumo y daño urinario. Fenciclidina y análogos pueden generar agitación intensa, analgesia, hipertensión y nistagmo.</w:t>
      </w:r>
    </w:p>
    <w:p>
      <w:r>
        <w:t>Las nuevas sustancias incluyen catinonas, cannabinoides sintéticos, benzodiazepinas de diseño y opioides sintéticos como nitazenos. UNODC continúa registrando cientos de compuestos; los paneles clínicos habituales detectan sólo una fracción. Productos llamados “tusi” pueden contener ketamina, MDMA, estimulantes, cafeína u otras mezclas sin relación con 2C-B. También se ha descrito contaminación de estimulantes y comprimidos falsificados con opioides sintéticos: una depresión ventilatoria inesperada obliga a ventilar y administrar naloxona sin esperar confirmación. Se trata el toxíndrome y se consulta a toxicología cuando está disponible.</w:t>
      </w:r>
    </w:p>
    <w:p>
      <w:r>
        <w:t>Una muestra se conserva sólo conforme a protocolo y cadena de custodia. La prioridad no es resolver una investigación química antes de ventilar, enfriar o tratar una convulsión.</w:t>
      </w:r>
    </w:p>
    <w:p>
      <w:pPr>
        <w:pStyle w:val="Heading1"/>
      </w:pPr>
      <w:r>
        <w:t>Caída, abstinencia y tratamiento longitudinal</w:t>
      </w:r>
    </w:p>
    <w:p>
      <w:r>
        <w:t>Después del uso de estimulantes pueden aparecer fatiga, hipersomnia o insomnio, disforia, anhedonia, ansiedad, irritabilidad, craving e ideación suicida. Se supervisa la caída si existe depresión intensa, psicosis, desnutrición o escaso soporte. La desaparición de la agitación no equivale a alta segura.</w:t>
      </w:r>
    </w:p>
    <w:p>
      <w:r>
        <w:t>El manejo de contingencias tiene el respaldo más consistente para trastornos por estimulantes. TCC, intervención comunitaria, reducción de daños y tratamiento de comorbilidades lo complementan. No existe una farmacoterapia universalmente aprobada; guías especializadas permiten considerar medicamentos fuera de indicación en subgrupos definidos, con monitorización y sin presentarlos como estándar general.</w:t>
      </w:r>
    </w:p>
    <w:p>
      <w:r>
        <w:t>La evaluación longitudinal documenta frecuencia, cantidad, vías, craving, control, consecuencias y períodos de abstinencia. Los objetivos pueden incluir suspender, reducir exposición, evitar mezclas, no conducir, dormir y alimentarse, disminuir riesgos sexuales y mantener contacto asistencial. Según el mercado y la disponibilidad local, se conversa sobre naloxona para testigos y análisis de sustancias como medidas complementarias, explicando que un test negativo no garantiza pureza. El manejo de contingencias no es “pagar por portarse bien”: es una intervención estructurada que refuerza conductas verificables y debe implementarse con reglas clínicas transparentes.</w:t>
      </w:r>
    </w:p>
    <w:p>
      <w:r>
        <w:t>Se abordan sueño, trauma, TDAH, vivienda, sexualidad, infecciones y red social. En Rodrigo, la reevaluación psiquiátrica ocurre después de controlar hipertermia, sodio y agitación. Su panel negativo para anfetaminas no valida la composición declarada.</w:t>
      </w:r>
    </w:p>
    <w:p>
      <w:pPr>
        <w:pStyle w:val="Heading1"/>
      </w:pPr>
      <w:r>
        <w:t>Errores frecuentes</w:t>
      </w:r>
    </w:p>
    <w:p>
      <w:pPr>
        <w:pStyle w:val="ListBullet"/>
      </w:pPr>
      <w:r>
        <w:t>Esperar confirmación toxicológica antes de tratar.</w:t>
      </w:r>
    </w:p>
    <w:p>
      <w:pPr>
        <w:pStyle w:val="ListBullet"/>
      </w:pPr>
      <w:r>
        <w:t>Confundir piel sudorosa con toxíndrome anticolinérgico.</w:t>
      </w:r>
    </w:p>
    <w:p>
      <w:pPr>
        <w:pStyle w:val="ListBullet"/>
      </w:pPr>
      <w:r>
        <w:t>Usar antipiréticos como tratamiento principal de hipertermia tóxica.</w:t>
      </w:r>
    </w:p>
    <w:p>
      <w:pPr>
        <w:pStyle w:val="ListBullet"/>
      </w:pPr>
      <w:r>
        <w:t>Recomendar agua ilimitada durante uso de MDMA.</w:t>
      </w:r>
    </w:p>
    <w:p>
      <w:pPr>
        <w:pStyle w:val="ListBullet"/>
      </w:pPr>
      <w:r>
        <w:t>Considerar toda paranoia como esquizofrenia.</w:t>
      </w:r>
    </w:p>
    <w:p>
      <w:pPr>
        <w:pStyle w:val="ListBullet"/>
      </w:pPr>
      <w:r>
        <w:t>Mantener contención física prolongada sin sedación ni monitorización.</w:t>
      </w:r>
    </w:p>
    <w:p>
      <w:pPr>
        <w:pStyle w:val="ListBullet"/>
      </w:pPr>
      <w:r>
        <w:t>Dar de alta durante la caída sin evaluar depresión y suicidio.</w:t>
      </w:r>
    </w:p>
    <w:p>
      <w:pPr>
        <w:pStyle w:val="Heading1"/>
      </w:pPr>
      <w:r>
        <w:t>Para recordar</w:t>
      </w:r>
    </w:p>
    <w:p>
      <w:pPr>
        <w:spacing w:after="60" w:line="288" w:lineRule="auto"/>
        <w:ind w:left="432" w:hanging="216"/>
        <w:shd w:fill="EAF6F3"/>
        <w:keepNext/>
        <w:keepLines/>
        <w:pBdr>
          <w:left w:val="single" w:sz="8" w:space="8" w:color="2A8C82"/>
        </w:pBdr>
      </w:pPr>
      <w:r>
        <w:t>1. Reconozca el toxíndrome antes de perseguir el nombre callejero.</w:t>
      </w:r>
    </w:p>
    <w:p>
      <w:pPr>
        <w:spacing w:after="60" w:line="288" w:lineRule="auto"/>
        <w:ind w:left="432" w:hanging="216"/>
        <w:shd w:fill="EAF6F3"/>
        <w:keepNext/>
        <w:keepLines/>
        <w:pBdr>
          <w:left w:val="single" w:sz="8" w:space="8" w:color="2A8C82"/>
        </w:pBdr>
      </w:pPr>
      <w:r>
        <w:t>2. Hipertermia, dolor torácico, convulsión y focalidad son alarmas médicas.</w:t>
      </w:r>
    </w:p>
    <w:p>
      <w:pPr>
        <w:spacing w:after="60" w:line="288" w:lineRule="auto"/>
        <w:ind w:left="432" w:hanging="216"/>
        <w:shd w:fill="EAF6F3"/>
        <w:keepNext/>
        <w:keepLines/>
        <w:pBdr>
          <w:left w:val="single" w:sz="8" w:space="8" w:color="2A8C82"/>
        </w:pBdr>
      </w:pPr>
      <w:r>
        <w:t>3. Sedación adecuada y enfriamiento vencen a la lucha física prolongada.</w:t>
      </w:r>
    </w:p>
    <w:p>
      <w:pPr>
        <w:spacing w:after="60" w:line="288" w:lineRule="auto"/>
        <w:ind w:left="432" w:hanging="216"/>
        <w:shd w:fill="EAF6F3"/>
        <w:keepNext/>
        <w:keepLines/>
        <w:pBdr>
          <w:left w:val="single" w:sz="8" w:space="8" w:color="2A8C82"/>
        </w:pBdr>
      </w:pPr>
      <w:r>
        <w:t>4. Un panel negativo no excluye nuevas sustancias ni mezclas.</w:t>
      </w:r>
    </w:p>
    <w:p>
      <w:pPr>
        <w:spacing w:after="60" w:line="288" w:lineRule="auto"/>
        <w:ind w:left="432" w:hanging="216"/>
        <w:shd w:fill="EAF6F3"/>
        <w:keepLines/>
        <w:pBdr>
          <w:left w:val="single" w:sz="8" w:space="8" w:color="2A8C82"/>
        </w:pBdr>
      </w:pPr>
      <w:r>
        <w:t>5. El tratamiento longitudinal es psicosocial, integrado y sostenido.</w:t>
      </w:r>
    </w:p>
    <w:p>
      <w:pPr>
        <w:pStyle w:val="Heading1"/>
      </w:pPr>
      <w:r>
        <w:t>Bibliografía esencial</w:t>
      </w:r>
    </w:p>
    <w:p>
      <w:pPr>
        <w:pStyle w:val="Bibliography"/>
      </w:pPr>
      <w:r>
        <w:t xml:space="preserve">• American Society of Addiction Medicine &amp; American Academy of Addiction Psychiatry. </w:t>
      </w:r>
      <w:r>
        <w:rPr>
          <w:i/>
        </w:rPr>
        <w:t>The ASAM/AAAP Clinical Practice Guideline on the Management of Stimulant Use Disorder</w:t>
      </w:r>
      <w:r>
        <w:t xml:space="preserve">. 2024. </w:t>
      </w:r>
      <w:hyperlink r:id="rId96">
        <w:r>
          <w:rPr>
            <w:color w:val="246B8E"/>
            <w:u w:val="single"/>
          </w:rPr>
          <w:t>Guía</w:t>
        </w:r>
      </w:hyperlink>
      <w:r>
        <w:t>.</w:t>
      </w:r>
    </w:p>
    <w:p>
      <w:pPr>
        <w:pStyle w:val="Bibliography"/>
      </w:pPr>
      <w:r>
        <w:t xml:space="preserve">• Centers for Disease Control and Prevention. </w:t>
      </w:r>
      <w:r>
        <w:rPr>
          <w:i/>
        </w:rPr>
        <w:t>La sobredosis con estimulantes</w:t>
      </w:r>
      <w:r>
        <w:t xml:space="preserve">. Actualización 2026. </w:t>
      </w:r>
      <w:hyperlink r:id="rId97">
        <w:r>
          <w:rPr>
            <w:color w:val="246B8E"/>
            <w:u w:val="single"/>
          </w:rPr>
          <w:t>Recurso oficial</w:t>
        </w:r>
      </w:hyperlink>
      <w:r>
        <w:t>.</w:t>
      </w:r>
    </w:p>
    <w:p>
      <w:pPr>
        <w:pStyle w:val="Bibliography"/>
      </w:pPr>
      <w:r>
        <w:t xml:space="preserve">• Department of Veterans Affairs &amp; Department of Defense. </w:t>
      </w:r>
      <w:r>
        <w:rPr>
          <w:i/>
        </w:rPr>
        <w:t>VA/DoD Clinical Practice Guideline for the Management of Substance Use Disorders</w:t>
      </w:r>
      <w:r>
        <w:t xml:space="preserve">. 2021. </w:t>
      </w:r>
      <w:hyperlink r:id="rId88">
        <w:r>
          <w:rPr>
            <w:color w:val="246B8E"/>
            <w:u w:val="single"/>
          </w:rPr>
          <w:t>Guía</w:t>
        </w:r>
      </w:hyperlink>
      <w:r>
        <w:t>.</w:t>
      </w:r>
    </w:p>
    <w:p>
      <w:pPr>
        <w:pStyle w:val="Bibliography"/>
      </w:pPr>
      <w:r>
        <w:t xml:space="preserve">• United Nations Office on Drugs and Crime. </w:t>
      </w:r>
      <w:r>
        <w:rPr>
          <w:i/>
        </w:rPr>
        <w:t>Early Warning Advisory on New Psychoactive Substances</w:t>
      </w:r>
      <w:r>
        <w:t xml:space="preserve">. Actualizaciones 2025–2026. </w:t>
      </w:r>
      <w:hyperlink r:id="rId98">
        <w:r>
          <w:rPr>
            <w:color w:val="246B8E"/>
            <w:u w:val="single"/>
          </w:rPr>
          <w:t>Sistema oficial</w:t>
        </w:r>
      </w:hyperlink>
      <w:r>
        <w:t>.</w:t>
      </w:r>
    </w:p>
    <w:p>
      <w:pPr>
        <w:pStyle w:val="Bibliography"/>
      </w:pPr>
      <w:r>
        <w:t xml:space="preserve">• World Health Organization. </w:t>
      </w:r>
      <w:r>
        <w:rPr>
          <w:i/>
        </w:rPr>
        <w:t>Clinical descriptions and diagnostic requirements for ICD-11 mental, behavioural and neurodevelopmental disorders</w:t>
      </w:r>
      <w:r>
        <w:t xml:space="preserve">. 2024. </w:t>
      </w:r>
      <w:hyperlink r:id="rId14">
        <w:r>
          <w:rPr>
            <w:color w:val="246B8E"/>
            <w:u w:val="single"/>
          </w:rPr>
          <w:t>Publicación</w:t>
        </w:r>
      </w:hyperlink>
      <w:r>
        <w:t>.</w:t>
      </w:r>
    </w:p>
    <w:p>
      <w:pPr>
        <w:pStyle w:val="Bibliography"/>
      </w:pPr>
      <w:r>
        <w:t xml:space="preserve">• Centers for Disease Control and Prevention. </w:t>
      </w:r>
      <w:r>
        <w:rPr>
          <w:i/>
        </w:rPr>
        <w:t>Fentanilo</w:t>
      </w:r>
      <w:r>
        <w:t xml:space="preserve">. Actualización 2026. </w:t>
      </w:r>
      <w:hyperlink r:id="rId99">
        <w:r>
          <w:rPr>
            <w:color w:val="246B8E"/>
            <w:u w:val="single"/>
          </w:rPr>
          <w:t>Recurso oficial</w:t>
        </w:r>
      </w:hyperlink>
      <w:r>
        <w:t>.</w:t>
      </w:r>
    </w:p>
    <w:p>
      <w:r>
        <w:br w:type="page"/>
      </w:r>
    </w:p>
    <w:p>
      <w:pPr>
        <w:spacing w:after="480"/>
      </w:pPr>
      <w:r>
        <w:rPr>
          <w:rFonts w:ascii="Calibri" w:hAnsi="Calibri"/>
          <w:b/>
          <w:color w:val="2A8C82"/>
          <w:sz w:val="20"/>
        </w:rPr>
        <w:t>CAPÍTULO 35 · MATERIAL PARA ESTUDIANTES</w:t>
      </w:r>
    </w:p>
    <w:tbl>
      <w:tblPr>
        <w:tblW w:type="auto" w:w="0"/>
        <w:jc w:val="left"/>
        <w:tblLayout w:type="fixed"/>
        <w:tblLook w:firstColumn="1" w:firstRow="1" w:lastColumn="0" w:lastRow="0" w:noHBand="0" w:noVBand="1" w:val="04A0"/>
      </w:tblPr>
      <w:tblGrid>
        <w:gridCol w:w="9648"/>
      </w:tblGrid>
      <w:tr>
        <w:trPr>
          <w:tblHeader w:val="true"/>
        </w:trPr>
        <w:tc>
          <w:tcPr>
            <w:tcW w:type="dxa" w:w="9072"/>
            <w:shd w:fill="173A5E"/>
            <w:tcMar>
              <w:top w:w="120" w:type="dxa"/>
              <w:start w:w="220" w:type="dxa"/>
              <w:bottom w:w="120" w:type="dxa"/>
              <w:end w:w="220" w:type="dxa"/>
            </w:tcMar>
          </w:tcPr>
          <w:p>
            <w:pPr>
              <w:spacing w:after="0"/>
            </w:pPr>
            <w:r>
              <w:rPr>
                <w:rFonts w:ascii="Calibri" w:hAnsi="Calibri"/>
                <w:b/>
                <w:color w:val="FFFFFF"/>
                <w:sz w:val="19"/>
              </w:rPr>
              <w:t>MÓDULO II · PATOLOGÍAS, GES Y TRATAMIENTOS</w:t>
            </w:r>
          </w:p>
        </w:tc>
      </w:tr>
    </w:tbl>
    <w:p>
      <w:pPr>
        <w:pStyle w:val="Title"/>
        <w:spacing w:before="520" w:after="360"/>
        <w:outlineLvl w:val="0"/>
      </w:pPr>
      <w:bookmarkStart w:id="1035" w:name="chapter_35"/>
      <w:r>
        <w:t>Opioides, benzodiazepinas, otros sedantes y dependencia de nicotina</w:t>
      </w:r>
      <w:bookmarkEnd w:id="1035"/>
    </w:p>
    <w:p>
      <w:pPr>
        <w:spacing w:after="80"/>
      </w:pPr>
      <w:r>
        <w:rPr>
          <w:rFonts w:ascii="Calibri" w:hAnsi="Calibri"/>
          <w:b/>
          <w:color w:val="246B8E"/>
          <w:sz w:val="26"/>
        </w:rPr>
        <w:t>Programa de Psiquiatría para internos de Medicina</w:t>
      </w:r>
    </w:p>
    <w:p>
      <w:r>
        <w:rPr>
          <w:rFonts w:ascii="Calibri" w:hAnsi="Calibri"/>
          <w:color w:val="6B7280"/>
          <w:sz w:val="22"/>
        </w:rPr>
        <w:t>Lectura complementaria · Chile · Versión final para revisión humana · 2026</w:t>
      </w:r>
    </w:p>
    <w:p/>
    <w:p/>
    <w:p/>
    <w:p/>
    <w:p/>
    <w:tbl>
      <w:tblPr>
        <w:tblW w:type="auto" w:w="0"/>
        <w:jc w:val="left"/>
        <w:tblLayout w:type="fixed"/>
        <w:tblLook w:firstColumn="1" w:firstRow="1" w:lastColumn="0" w:lastRow="0" w:noHBand="0" w:noVBand="1" w:val="04A0"/>
      </w:tblPr>
      <w:tblGrid>
        <w:gridCol w:w="9648"/>
      </w:tblGrid>
      <w:tr>
        <w:trPr>
          <w:tblHeader w:val="true"/>
        </w:trPr>
        <w:tc>
          <w:tcPr>
            <w:tcW w:type="dxa" w:w="9648"/>
            <w:shd w:fill="F3F5F6"/>
            <w:tcBorders>
              <w:start w:val="single" w:sz="18" w:color="2A8C82"/>
            </w:tcBorders>
            <w:tcMar>
              <w:top w:w="160" w:type="dxa"/>
              <w:start w:w="220" w:type="dxa"/>
              <w:bottom w:w="160" w:type="dxa"/>
              <w:end w:w="220" w:type="dxa"/>
            </w:tcMar>
          </w:tcPr>
          <w:p>
            <w:pPr>
              <w:spacing w:after="0"/>
            </w:pPr>
            <w:r>
              <w:rPr>
                <w:rFonts w:ascii="Calibri" w:hAnsi="Calibri"/>
                <w:i/>
                <w:color w:val="6B7280"/>
                <w:sz w:val="18"/>
              </w:rPr>
              <w:t>Versión docente final para revisión humana. Material propuesto y contextualizado a Chile; no corresponde a un programa oficial de la Pontificia Universidad Católica de Chile ni sustituye protocolos locales, supervisión clínica o evaluación especializada. Fuentes revisadas al 15 de agosto de 2026.</w:t>
            </w:r>
          </w:p>
        </w:tc>
      </w:tr>
    </w:tbl>
    <w:p>
      <w:r>
        <w:br w:type="page"/>
      </w:r>
    </w:p>
    <w:tbl>
      <w:tblPr>
        <w:tblW w:type="auto" w:w="0"/>
        <w:jc w:val="center"/>
        <w:tblLayout w:type="autofit"/>
        <w:tblLook w:firstColumn="1" w:firstRow="1" w:lastColumn="0" w:lastRow="0" w:noHBand="0" w:noVBand="1" w:val="04A0"/>
      </w:tblPr>
      <w:tblGrid>
        <w:gridCol w:w="9648"/>
      </w:tblGrid>
      <w:tr>
        <w:trPr>
          <w:tblHeader w:val="true"/>
        </w:trPr>
        <w:tc>
          <w:tcPr>
            <w:tcW w:type="dxa" w:w="9648"/>
            <w:vAlign w:val="center"/>
            <w:shd w:fill="EAF3F7"/>
            <w:tcBorders>
              <w:start w:val="single" w:sz="14" w:color="2A8C82"/>
            </w:tcBorders>
            <w:tcMar>
              <w:top w:w="130" w:type="dxa"/>
              <w:start w:w="190" w:type="dxa"/>
              <w:bottom w:w="130" w:type="dxa"/>
              <w:end w:w="190" w:type="dxa"/>
            </w:tcMar>
          </w:tcPr>
          <w:p>
            <w:pPr>
              <w:spacing w:after="0"/>
            </w:pPr>
            <w:r>
              <w:rPr>
                <w:b/>
                <w:color w:val="173A5E"/>
              </w:rPr>
              <w:t xml:space="preserve">PREGUNTA CLÍNICA  </w:t>
            </w:r>
            <w:r>
              <w:t>¿Cómo tratar con seguridad la depresión respiratoria y la abstinencia sin confundir dependencia física, trastorno por consumo y necesidad de tratamiento longitudinal?</w:t>
            </w:r>
          </w:p>
        </w:tc>
      </w:tr>
    </w:tbl>
    <w:p>
      <w:pPr>
        <w:spacing w:after="0"/>
      </w:pPr>
    </w:p>
    <w:tbl>
      <w:tblPr>
        <w:tblW w:type="auto" w:w="0"/>
        <w:jc w:val="center"/>
        <w:tblLayout w:type="autofit"/>
        <w:tblLook w:firstColumn="1" w:firstRow="1" w:lastColumn="0" w:lastRow="0" w:noHBand="0" w:noVBand="1" w:val="04A0"/>
      </w:tblPr>
      <w:tblGrid>
        <w:gridCol w:w="9648"/>
      </w:tblGrid>
      <w:tr>
        <w:trPr>
          <w:tblHeader w:val="true"/>
        </w:trPr>
        <w:tc>
          <w:tcPr>
            <w:tcW w:type="dxa" w:w="9648"/>
            <w:vAlign w:val="center"/>
            <w:shd w:fill="EAF6F3"/>
            <w:tcBorders>
              <w:start w:val="single" w:sz="14" w:color="2A8C82"/>
            </w:tcBorders>
            <w:tcMar>
              <w:top w:w="130" w:type="dxa"/>
              <w:start w:w="190" w:type="dxa"/>
              <w:bottom w:w="130" w:type="dxa"/>
              <w:end w:w="190" w:type="dxa"/>
            </w:tcMar>
          </w:tcPr>
          <w:p>
            <w:pPr>
              <w:spacing w:after="0"/>
            </w:pPr>
            <w:r>
              <w:rPr>
                <w:b/>
                <w:color w:val="173A5E"/>
              </w:rPr>
              <w:t xml:space="preserve">IDEA CENTRAL  </w:t>
            </w:r>
            <w:r>
              <w:t>en los depresores del sistema nervioso central, la primera prioridad es sostener ventilación y conciencia; después se evita un retiro brusco peligroso y se transforma la urgencia en acceso a tratamiento. En tabaco, preguntar y ofrecer ayuda efectiva debe ser parte rutinaria de la atención psiquiátrica.</w:t>
            </w:r>
          </w:p>
        </w:tc>
      </w:tr>
    </w:tbl>
    <w:p>
      <w:pPr>
        <w:spacing w:after="0"/>
      </w:pPr>
    </w:p>
    <w:p>
      <w:pPr>
        <w:pStyle w:val="Heading1"/>
      </w:pPr>
      <w:r>
        <w:t>Por qué importa</w:t>
      </w:r>
    </w:p>
    <w:p>
      <w:r>
        <w:t>Opioides, benzodiazepinas, fármacos Z, alcohol y otros sedantes se potencian entre sí. Una prescripción legítima no descarta intoxicación, y una dependencia física esperable no demuestra adicción. Los errores más graves ocurren al dejar “dormir” a una persona hipoventilando, revertir sin observar una renarcotización o suspender benzodiazepinas de manera abrupta.</w:t>
      </w:r>
    </w:p>
    <w:p>
      <w:r>
        <w:t>El tabaquismo, en cambio, suele quedar fuera de la consulta aunque sea una causa mayor de enfermedad y modifique concentraciones de psicofármacos. Un interno debe ser capaz de manejar la emergencia, describir la abstinencia, iniciar reducción de daños y conocer el acceso chileno mediante GES 90.</w:t>
      </w:r>
    </w:p>
    <w:p>
      <w:pPr>
        <w:pStyle w:val="Heading1"/>
      </w:pPr>
      <w:r>
        <w:t>Objetivos de aprendizaje</w:t>
      </w:r>
    </w:p>
    <w:p>
      <w:pPr>
        <w:keepNext/>
      </w:pPr>
      <w:r>
        <w:t>Al terminar este capítulo, el estudiante podrá:</w:t>
      </w:r>
    </w:p>
    <w:p>
      <w:pPr>
        <w:spacing w:after="60" w:line="288" w:lineRule="auto"/>
        <w:ind w:left="432" w:hanging="216"/>
      </w:pPr>
      <w:r>
        <w:t>1. Reconocer y tratar inicialmente una sobredosis opioide.</w:t>
      </w:r>
    </w:p>
    <w:p>
      <w:pPr>
        <w:spacing w:after="60" w:line="288" w:lineRule="auto"/>
        <w:ind w:left="432" w:hanging="216"/>
      </w:pPr>
      <w:r>
        <w:t>2. Usar naloxona como complemento de la ventilación y planificar observación posterior.</w:t>
      </w:r>
    </w:p>
    <w:p>
      <w:pPr>
        <w:spacing w:after="60" w:line="288" w:lineRule="auto"/>
        <w:ind w:left="432" w:hanging="216"/>
      </w:pPr>
      <w:r>
        <w:t>3. Diferenciar abstinencia, dependencia física y trastorno por consumo de opioides o sedantes.</w:t>
      </w:r>
    </w:p>
    <w:p>
      <w:pPr>
        <w:spacing w:after="60" w:line="288" w:lineRule="auto"/>
        <w:ind w:left="432" w:hanging="216"/>
      </w:pPr>
      <w:r>
        <w:t>4. Explicar las bases del tratamiento con buprenorfina, metadona o naltrexona.</w:t>
      </w:r>
    </w:p>
    <w:p>
      <w:pPr>
        <w:spacing w:after="60" w:line="288" w:lineRule="auto"/>
        <w:ind w:left="432" w:hanging="216"/>
      </w:pPr>
      <w:r>
        <w:t>5. Evitar el retiro brusco de benzodiazepinas y plantear una reducción individualizada.</w:t>
      </w:r>
    </w:p>
    <w:p>
      <w:pPr>
        <w:spacing w:after="60" w:line="288" w:lineRule="auto"/>
        <w:ind w:left="432" w:hanging="216"/>
      </w:pPr>
      <w:r>
        <w:t>6. Ofrecer tratamiento conductual y farmacológico para dejar el tabaco.</w:t>
      </w:r>
    </w:p>
    <w:p>
      <w:pPr>
        <w:spacing w:after="60" w:line="288" w:lineRule="auto"/>
        <w:ind w:left="432" w:hanging="216"/>
      </w:pPr>
      <w:r>
        <w:t>7. Aplicar correctamente los criterios y el plazo del GES 90.</w:t>
      </w:r>
    </w:p>
    <w:p>
      <w:pPr>
        <w:pStyle w:val="Heading1"/>
      </w:pPr>
      <w:r>
        <w:t>Caso clínico</w:t>
      </w:r>
    </w:p>
    <w:p>
      <w:pPr>
        <w:shd w:fill="EAF3F7"/>
        <w:keepNext/>
        <w:keepLines/>
        <w:pBdr>
          <w:left w:val="single" w:sz="8" w:space="8" w:color="246B8E"/>
        </w:pBdr>
        <w:ind w:left="173" w:right="86"/>
      </w:pPr>
      <w:r>
        <w:t>Patricia, de 47 años, recibe tramadol por dolor crónico, clonazepam nocturno y zopiclona. Su pareja la encuentra somnolienta, con respiración lenta y pupilas pequeñas, junto a comprimidos comprados por internet. En urgencia mejora su ventilación después de naloxona y pide irse apenas despierta. Luego refiere que ha intentado suspender clonazepam de golpe, con temblor e insomnio, y fuma 25 cigarrillos diarios.</w:t>
      </w:r>
    </w:p>
    <w:p>
      <w:pPr>
        <w:shd w:fill="EAF3F7"/>
        <w:keepLines/>
        <w:pBdr>
          <w:left w:val="single" w:sz="8" w:space="8" w:color="246B8E"/>
        </w:pBdr>
        <w:ind w:left="173" w:right="86"/>
      </w:pPr>
      <w:r>
        <w:t>El caso contiene tres problemas distintos: una sobredosis potencialmente recurrente, dependencia física a sedantes que exige un plan seguro y dependencia de nicotina susceptible de tratamiento. Resolver sólo el primero deja intacto el riesgo de repetición.</w:t>
      </w:r>
    </w:p>
    <w:p>
      <w:pPr>
        <w:pStyle w:val="Heading1"/>
      </w:pPr>
      <w:r>
        <w:t>Sobredosis opioide: ventilar, revertir y observar</w:t>
      </w:r>
    </w:p>
    <w:p>
      <w:r>
        <w:t>La combinación de conciencia deprimida, respiración lenta o ausente y miosis sugiere opioides, pero la miosis puede faltar y la coingesta puede modificar el cuadro. Se evalúan vía aérea, frecuencia y calidad ventilatoria, oxigenación, circulación, glicemia, temperatura, trauma y otras causas de coma. El objetivo inmediato es oxigenar y ventilar; naloxona no sustituye apertura de vía aérea, ventilación asistida ni reanimación cuando corresponde.</w:t>
      </w:r>
    </w:p>
    <w:p>
      <w:r>
        <w:t>Naloxona se titula según protocolo para recuperar ventilación espontánea adecuada, no necesariamente para producir despertar completo. Una reversión brusca en una persona dependiente puede precipitar dolor, vómitos, agitación y abstinencia; una dosis insuficiente deja hipoventilación. Pueden requerirse dosis repetidas y, con opioides potentes o de acción prolongada, infusión y cuidados de mayor complejidad.</w:t>
      </w:r>
    </w:p>
    <w:p>
      <w:r>
        <w:t>Su efecto puede durar menos que el opioide. Por eso, una respuesta inicial no autoriza alta inmediata: se observan conciencia y respiración durante un período acorde a sustancia, vía, formulación, respuesta y coingestas. Se buscan aspiración, edema pulmonar, rabdomiólisis, hipoxia, trauma y exposición a paracetamol u otros componentes. Tramadol agrega riesgo convulsivo y serotoninérgico; naloxona corrige el componente opioide, no toda la toxicidad.</w:t>
      </w:r>
    </w:p>
    <w:p>
      <w:pPr>
        <w:pStyle w:val="Heading1"/>
      </w:pPr>
      <w:r>
        <w:t>Reducción de daños y continuidad después de la reversión</w:t>
      </w:r>
    </w:p>
    <w:p>
      <w:r>
        <w:t>Una sobredosis puede ser accidental, relacionada con un trastorno por consumo o autoinfligida. Se pregunta directamente por intención, circunstancias, pérdidas recientes y riesgo suicida cuando la persona puede participar, sin asumir que toda exposición es recreativa. También se revisan dolor, prescriptores, recetas duplicadas, productos de internet y acceso de niños u otras personas al medicamento.</w:t>
      </w:r>
    </w:p>
    <w:p>
      <w:r>
        <w:t>Las intervenciones incluyen no mezclar opioides con alcohol, benzodiazepinas u otros depresores; no usar a solas; reconocer respiración anormal; activar emergencias; y facilitar naloxona a la persona y a quienes podrían presenciar una sobredosis, según disponibilidad y normativa local. Tras abstinencia, hospitalización o encarcelamiento disminuye la tolerancia y una dosis previamente habitual puede ser letal. Tabletas falsificadas pueden contener opioides sintéticos inesperados.</w:t>
      </w:r>
    </w:p>
    <w:p>
      <w:r>
        <w:t>El alta exige estabilidad fisiológica, tiempo de observación suficiente, comprensión del riesgo, apoyo y enlace concreto. Una firma de rechazo no reemplaza evaluar capacidad de decisión, delirium, intoxicación persistente ni riesgo vital. En Patricia, el deseo de retirarse se reevalúa a la luz de la duración desconocida de los comprimidos y del riesgo de nueva depresión respiratoria.</w:t>
      </w:r>
    </w:p>
    <w:p>
      <w:pPr>
        <w:pStyle w:val="Heading1"/>
      </w:pPr>
      <w:r>
        <w:t>Abstinencia y tratamiento del trastorno por consumo de opioides</w:t>
      </w:r>
    </w:p>
    <w:p>
      <w:r>
        <w:t>La abstinencia suele combinar midriasis, lagrimeo, rinorrea, bostezos, piloerección, dolor, inquietud, diarrea, vómitos, taquicardia e insomnio. En adultos suele ser muy angustiante pero no típicamente mortal; deshidratación, embarazo, comorbilidad y riesgo suicida pueden volverla clínicamente grave. Una escala como COWS ayuda a seguir signos, pero no reemplaza diagnóstico ni juicio.</w:t>
      </w:r>
    </w:p>
    <w:p>
      <w:r>
        <w:t>Buprenorfina y metadona son tratamientos agonistas eficaces que reducen consumo ilícito y mortalidad cuando se mantienen dentro de programas apropiados. La inducción convencional con buprenorfina espera signos objetivos de abstinencia para evitar una abstinencia precipitada; exposiciones a opioides de acción prolongada o muy potentes requieren especial cautela. Estrategias de dosis bajas existen en contextos especializados, pero no deben improvisarse.</w:t>
      </w:r>
    </w:p>
    <w:p>
      <w:r>
        <w:t>Naltrexona bloquea receptores y exige un intervalo suficiente libre de opioides antes de iniciarse; administrarla mientras existe dependencia fisiológica precipita abstinencia. La desintoxicación aislada, sin medicación de mantenimiento o continuidad psicosocial cuando está indicada, deja alto riesgo de recaída y sobredosis. El plan integra salud mental, dolor, infecciones, vivienda, red y preferencias informadas.</w:t>
      </w:r>
    </w:p>
    <w:p>
      <w:pPr>
        <w:pStyle w:val="Heading1"/>
      </w:pPr>
      <w:r>
        <w:t>Benzodiazepinas y fármacos Z: retirar sin causar daño</w:t>
      </w:r>
    </w:p>
    <w:p>
      <w:r>
        <w:t>La intoxicación produce somnolencia, disartria, ataxia y deterioro de memoria; la depresión respiratoria aumenta marcadamente al combinar con opioides, alcohol u otros sedantes. Se entrega soporte y se estudian coingestas. Flumazenil no es un “despertador” de rutina: puede precipitar abstinencia y convulsiones en dependencia, intoxicación mixta o riesgo convulsivo. Su uso queda para situaciones seleccionadas y equipos capaces de valorar contraindicaciones.</w:t>
      </w:r>
    </w:p>
    <w:p>
      <w:r>
        <w:t>Dependencia física puede aparecer con uso regular aun bien prescrito y no equivale a un trastorno por consumo. Este último implica pérdida de control, prioridad del uso y persistencia pese al daño. Ambas situaciones pueden coexistir. La abstinencia de benzodiazepinas puede causar ansiedad, insomnio, hipersensibilidad sensorial, temblor, alteración perceptiva, delirium o convulsiones; por ello no se suspende abruptamente a quien probablemente es dependiente.</w:t>
      </w:r>
    </w:p>
    <w:p>
      <w:r>
        <w:t>La guía conjunta liderada por ASAM propone como punto de partida reducciones pequeñas —por ejemplo, 5–10% de la dosis diaria total cada 2–4 semanas— con decisiones compartidas y ajustes según respuesta. No es una receta universal: exposiciones prolongadas pueden requerir meses, pausas y reducciones aún menores. Cambiar a una benzodiazepina de vida media más larga puede ayudar en algunas personas, pero depende de edad, hepatopatía, interacciones y experiencia clínica.</w:t>
      </w:r>
    </w:p>
    <w:p>
      <w:r>
        <w:t>Se trata en paralelo la indicación original con intervenciones apropiadas para ansiedad, insomnio, trauma o dolor. Delirium, convulsiones, uso de dosis muy altas, policonsumo o comorbilidad inestable pueden requerir retiro hospitalario. Los fármacos Z también producen deterioro, caídas, tolerancia y abstinencia; llamarlos “no benzodiazepínicos” no los vuelve inocuos.</w:t>
      </w:r>
    </w:p>
    <w:p>
      <w:pPr>
        <w:pStyle w:val="Heading1"/>
      </w:pPr>
      <w:r>
        <w:t>Otros sedantes y combinaciones</w:t>
      </w:r>
    </w:p>
    <w:p>
      <w:r>
        <w:t>Barbitúricos pueden producir coma y depresión respiratoria con una abstinencia potencialmente letal. Gabapentinoides aumentan sedación y riesgo cuando se combinan con opioides; su retiro también puede causar síntomas. GHB y precursores pueden alternar sedación profunda, recuperación rápida aparente y abstinencia grave en uso frecuente. Antihistamínicos sedantes y antipsicóticos agregan carga anticolinérgica, hipotensión o alteración de QT.</w:t>
      </w:r>
    </w:p>
    <w:p>
      <w:r>
        <w:t>El manejo se guía por toxíndrome, ventilación, ECG, temperatura y cronología. Un panel urinario negativo no descarta fármacos Z, benzodiazepinas de diseño, algunos opioides sintéticos ni GHB. La incertidumbre se comunica explícitamente y el período de observación se decide por curso clínico y posible duración, no por la tranquilidad de una prueba incompleta.</w:t>
      </w:r>
    </w:p>
    <w:p>
      <w:pPr>
        <w:pStyle w:val="Heading1"/>
      </w:pPr>
      <w:r>
        <w:t>Dependencia de nicotina: preguntar, tratar y monitorizar</w:t>
      </w:r>
    </w:p>
    <w:p>
      <w:r>
        <w:t>Se pregunta por cigarrillos, tabaco de liar, vapeadores y productos calentados; cantidad, tiempo hasta el primer consumo, intentos previos, abstinencia, motivación y convivencia con humo. Un consejo breve, claro y no culpabilizante se ofrece rutinariamente: dejar de fumar es una de las intervenciones de mayor impacto y existen tratamientos eficaces.</w:t>
      </w:r>
    </w:p>
    <w:p>
      <w:r>
        <w:t>La abstinencia nicotínica produce craving, irritabilidad, ansiedad, inquietud, dificultad de concentración, aumento del apetito y alteraciones del sueño. Anticiparla permite planificar apoyo y farmacoterapia.</w:t>
      </w:r>
    </w:p>
    <w:p>
      <w:r>
        <w:t>El apoyo conductual se combina, cuando corresponde, con terapia de reemplazo de nicotina, vareniclina, bupropión o citisina. Parche más una forma de acción corta puede controlar abstinencia basal y craving episódico. La selección considera preferencias, disponibilidad local, embarazo, enfermedad médica, interacciones y contraindicaciones; por ejemplo, bupropión se evita ante trastornos convulsivos y antecedente actual o previo de anorexia nerviosa o bulimia nerviosa. Seguimiento temprano permite ajustar y normalizar que varios intentos pueden formar parte del proceso.</w:t>
      </w:r>
    </w:p>
    <w:p>
      <w:r>
        <w:t>El humo del tabaco —no la nicotina— induce CYP1A2. Al reducir o suspender cigarrillos pueden aumentar concentraciones de clozapina y olanzapina; se vigilan sedación y otros efectos y se ajusta con el equipo tratante, idealmente con niveles plasmáticos cuando corresponda. Iniciar vapeo no reproduce necesariamente esa inducción y no debe pasar inadvertido en la conciliación farmacológica. Los cigarrillos electrónicos no se presentan como inocuos ni como sustituto automático de un plan clínico.</w:t>
      </w:r>
    </w:p>
    <w:p>
      <w:pPr>
        <w:pStyle w:val="Heading1"/>
      </w:pPr>
      <w:r>
        <w:t>GES 90 en Chile</w:t>
      </w:r>
    </w:p>
    <w:p>
      <w:r>
        <w:t xml:space="preserve">El GES 90, vigente desde diciembre de 2025, corresponde a cesación del consumo de tabaco en personas de </w:t>
      </w:r>
      <w:r>
        <w:rPr>
          <w:b/>
        </w:rPr>
        <w:t>25 años y más</w:t>
      </w:r>
      <w:r>
        <w:t xml:space="preserve">. Accede quien presenta </w:t>
      </w:r>
      <w:r>
        <w:rPr>
          <w:b/>
        </w:rPr>
        <w:t>alta dependencia</w:t>
      </w:r>
      <w:r>
        <w:t xml:space="preserve"> y está en etapa de </w:t>
      </w:r>
      <w:r>
        <w:rPr>
          <w:b/>
        </w:rPr>
        <w:t>preparación o acción</w:t>
      </w:r>
      <w:r>
        <w:t xml:space="preserve"> para abandonar el consumo; con confirmación diagnóstica tiene acceso a tratamiento y, una vez iniciado, a continuarlo. La garantía de oportunidad establece inicio del tratamiento farmacológico dentro de </w:t>
      </w:r>
      <w:r>
        <w:rPr>
          <w:b/>
        </w:rPr>
        <w:t>30 días desde la confirmación diagnóstica</w:t>
      </w:r>
      <w:r>
        <w:t>.</w:t>
      </w:r>
    </w:p>
    <w:p>
      <w:r>
        <w:t>No toda persona que fuma cumple esos criterios administrativos, pero toda persona merece consejo, evaluación y alternativas de atención. La ficha GES no reemplaza la formulación clínica ni autoriza demorar una intervención breve. En Patricia se mide dependencia, se explora disposición a dejar, se revisan interacciones psicofarmacológicas y se activa la vía correspondiente si cumple condiciones.</w:t>
      </w:r>
    </w:p>
    <w:p>
      <w:pPr>
        <w:pStyle w:val="Heading1"/>
      </w:pPr>
      <w:r>
        <w:t>Errores frecuentes</w:t>
      </w:r>
    </w:p>
    <w:p>
      <w:pPr>
        <w:pStyle w:val="ListBullet"/>
      </w:pPr>
      <w:r>
        <w:t>Esperar naloxona sin sostener vía aérea y ventilación.</w:t>
      </w:r>
    </w:p>
    <w:p>
      <w:pPr>
        <w:pStyle w:val="ListBullet"/>
      </w:pPr>
      <w:r>
        <w:t>Dar de alta apenas la persona despierta, sin considerar renarcotización.</w:t>
      </w:r>
    </w:p>
    <w:p>
      <w:pPr>
        <w:pStyle w:val="ListBullet"/>
      </w:pPr>
      <w:r>
        <w:t>Interpretar toda dependencia física como adicción.</w:t>
      </w:r>
    </w:p>
    <w:p>
      <w:pPr>
        <w:pStyle w:val="ListBullet"/>
      </w:pPr>
      <w:r>
        <w:t>Suspender bruscamente benzodiazepinas de uso prolongado.</w:t>
      </w:r>
    </w:p>
    <w:p>
      <w:pPr>
        <w:pStyle w:val="ListBullet"/>
      </w:pPr>
      <w:r>
        <w:t>Usar flumazenil de rutina en una intoxicación mixta o desconocida.</w:t>
      </w:r>
    </w:p>
    <w:p>
      <w:pPr>
        <w:pStyle w:val="ListBullet"/>
      </w:pPr>
      <w:r>
        <w:t>Ofrecer sólo “fuerza de voluntad” para dejar de fumar.</w:t>
      </w:r>
    </w:p>
    <w:p>
      <w:pPr>
        <w:pStyle w:val="ListBullet"/>
      </w:pPr>
      <w:r>
        <w:t>Olvidar que dejar cigarrillos puede elevar niveles de clozapina u olanzapina.</w:t>
      </w:r>
    </w:p>
    <w:p>
      <w:pPr>
        <w:pStyle w:val="ListBullet"/>
      </w:pPr>
      <w:r>
        <w:t>Presentar GES 90 como cobertura automática para cualquier fumador.</w:t>
      </w:r>
    </w:p>
    <w:p>
      <w:pPr>
        <w:pStyle w:val="Heading1"/>
      </w:pPr>
      <w:r>
        <w:t>Para recordar</w:t>
      </w:r>
    </w:p>
    <w:p>
      <w:pPr>
        <w:spacing w:after="60" w:line="288" w:lineRule="auto"/>
        <w:ind w:left="432" w:hanging="216"/>
        <w:shd w:fill="EAF6F3"/>
        <w:keepNext/>
        <w:keepLines/>
        <w:pBdr>
          <w:left w:val="single" w:sz="8" w:space="8" w:color="2A8C82"/>
        </w:pBdr>
      </w:pPr>
      <w:r>
        <w:t>1. En sobredosis opioide, la meta inmediata es una ventilación adecuada.</w:t>
      </w:r>
    </w:p>
    <w:p>
      <w:pPr>
        <w:spacing w:after="60" w:line="288" w:lineRule="auto"/>
        <w:ind w:left="432" w:hanging="216"/>
        <w:shd w:fill="EAF6F3"/>
        <w:keepNext/>
        <w:keepLines/>
        <w:pBdr>
          <w:left w:val="single" w:sz="8" w:space="8" w:color="2A8C82"/>
        </w:pBdr>
      </w:pPr>
      <w:r>
        <w:t>2. Naloxona puede durar menos que el opioide: observe y reevalúe.</w:t>
      </w:r>
    </w:p>
    <w:p>
      <w:pPr>
        <w:spacing w:after="60" w:line="288" w:lineRule="auto"/>
        <w:ind w:left="432" w:hanging="216"/>
        <w:shd w:fill="EAF6F3"/>
        <w:keepNext/>
        <w:keepLines/>
        <w:pBdr>
          <w:left w:val="single" w:sz="8" w:space="8" w:color="2A8C82"/>
        </w:pBdr>
      </w:pPr>
      <w:r>
        <w:t>3. Buprenorfina y metadona tratan el trastorno; desintoxicar no basta.</w:t>
      </w:r>
    </w:p>
    <w:p>
      <w:pPr>
        <w:spacing w:after="60" w:line="288" w:lineRule="auto"/>
        <w:ind w:left="432" w:hanging="216"/>
        <w:shd w:fill="EAF6F3"/>
        <w:keepNext/>
        <w:keepLines/>
        <w:pBdr>
          <w:left w:val="single" w:sz="8" w:space="8" w:color="2A8C82"/>
        </w:pBdr>
      </w:pPr>
      <w:r>
        <w:t>4. Una benzodiazepina dependiente se reduce gradualmente y de forma individualizada.</w:t>
      </w:r>
    </w:p>
    <w:p>
      <w:pPr>
        <w:spacing w:after="60" w:line="288" w:lineRule="auto"/>
        <w:ind w:left="432" w:hanging="216"/>
        <w:shd w:fill="EAF6F3"/>
        <w:keepLines/>
        <w:pBdr>
          <w:left w:val="single" w:sz="8" w:space="8" w:color="2A8C82"/>
        </w:pBdr>
      </w:pPr>
      <w:r>
        <w:t>5. El GES 90 exige 25 años o más, alta dependencia, preparación o acción, y garantiza farmacoterapia dentro de 30 días.</w:t>
      </w:r>
    </w:p>
    <w:p>
      <w:pPr>
        <w:pStyle w:val="Heading1"/>
      </w:pPr>
      <w:r>
        <w:t>Bibliografía esencial</w:t>
      </w:r>
    </w:p>
    <w:p>
      <w:pPr>
        <w:pStyle w:val="Bibliography"/>
      </w:pPr>
      <w:r>
        <w:t xml:space="preserve">• World Health Organization. </w:t>
      </w:r>
      <w:r>
        <w:rPr>
          <w:i/>
        </w:rPr>
        <w:t>Opioid overdose</w:t>
      </w:r>
      <w:r>
        <w:t xml:space="preserve">. Actualización oficial. </w:t>
      </w:r>
      <w:hyperlink r:id="rId100">
        <w:r>
          <w:rPr>
            <w:color w:val="246B8E"/>
            <w:u w:val="single"/>
          </w:rPr>
          <w:t>Ficha técnica</w:t>
        </w:r>
      </w:hyperlink>
      <w:r>
        <w:t>.</w:t>
      </w:r>
    </w:p>
    <w:p>
      <w:pPr>
        <w:pStyle w:val="Bibliography"/>
      </w:pPr>
      <w:r>
        <w:t xml:space="preserve">• Substance Abuse and Mental Health Services Administration. </w:t>
      </w:r>
      <w:r>
        <w:rPr>
          <w:i/>
        </w:rPr>
        <w:t>TIP 63: Medications for Opioid Use Disorder</w:t>
      </w:r>
      <w:r>
        <w:t xml:space="preserve">. 2021. </w:t>
      </w:r>
      <w:hyperlink r:id="rId101">
        <w:r>
          <w:rPr>
            <w:color w:val="246B8E"/>
            <w:u w:val="single"/>
          </w:rPr>
          <w:t>Guía</w:t>
        </w:r>
      </w:hyperlink>
      <w:r>
        <w:t>.</w:t>
      </w:r>
    </w:p>
    <w:p>
      <w:pPr>
        <w:pStyle w:val="Bibliography"/>
      </w:pPr>
      <w:r>
        <w:t xml:space="preserve">• American Society of Addiction Medicine y sociedades colaboradoras. </w:t>
      </w:r>
      <w:r>
        <w:rPr>
          <w:i/>
        </w:rPr>
        <w:t>Joint Clinical Practice Guideline on Benzodiazepine Tapering</w:t>
      </w:r>
      <w:r>
        <w:t xml:space="preserve">. 2025. </w:t>
      </w:r>
      <w:hyperlink r:id="rId102">
        <w:r>
          <w:rPr>
            <w:color w:val="246B8E"/>
            <w:u w:val="single"/>
          </w:rPr>
          <w:t>Guía</w:t>
        </w:r>
      </w:hyperlink>
      <w:r>
        <w:t>.</w:t>
      </w:r>
    </w:p>
    <w:p>
      <w:pPr>
        <w:pStyle w:val="Bibliography"/>
      </w:pPr>
      <w:r>
        <w:t xml:space="preserve">• National Institute for Health and Care Excellence. </w:t>
      </w:r>
      <w:r>
        <w:rPr>
          <w:i/>
        </w:rPr>
        <w:t>Medicines associated with dependence or withdrawal symptoms: safe prescribing and withdrawal management for adults (NG215)</w:t>
      </w:r>
      <w:r>
        <w:t xml:space="preserve">. 2022. </w:t>
      </w:r>
      <w:hyperlink r:id="rId36">
        <w:r>
          <w:rPr>
            <w:color w:val="246B8E"/>
            <w:u w:val="single"/>
          </w:rPr>
          <w:t>Guía</w:t>
        </w:r>
      </w:hyperlink>
      <w:r>
        <w:t>.</w:t>
      </w:r>
    </w:p>
    <w:p>
      <w:pPr>
        <w:pStyle w:val="Bibliography"/>
      </w:pPr>
      <w:r>
        <w:t xml:space="preserve">• World Health Organization. </w:t>
      </w:r>
      <w:r>
        <w:rPr>
          <w:i/>
        </w:rPr>
        <w:t>WHO clinical treatment guideline for tobacco cessation in adults</w:t>
      </w:r>
      <w:r>
        <w:t xml:space="preserve">. 2024. </w:t>
      </w:r>
      <w:hyperlink r:id="rId103">
        <w:r>
          <w:rPr>
            <w:color w:val="246B8E"/>
            <w:u w:val="single"/>
          </w:rPr>
          <w:t>Guía</w:t>
        </w:r>
      </w:hyperlink>
      <w:r>
        <w:t>.</w:t>
      </w:r>
    </w:p>
    <w:p>
      <w:pPr>
        <w:pStyle w:val="Bibliography"/>
      </w:pPr>
      <w:r>
        <w:t xml:space="preserve">• Ministerio de Salud de Chile. </w:t>
      </w:r>
      <w:r>
        <w:rPr>
          <w:i/>
        </w:rPr>
        <w:t>GES 90: Cesación del consumo de tabaco en personas de 25 años y más</w:t>
      </w:r>
      <w:r>
        <w:t xml:space="preserve">. </w:t>
      </w:r>
      <w:hyperlink r:id="rId104">
        <w:r>
          <w:rPr>
            <w:color w:val="246B8E"/>
            <w:u w:val="single"/>
          </w:rPr>
          <w:t>Ficha oficial</w:t>
        </w:r>
      </w:hyperlink>
      <w:r>
        <w:t>.</w:t>
      </w:r>
    </w:p>
    <w:p>
      <w:r>
        <w:br w:type="page"/>
      </w:r>
    </w:p>
    <w:p>
      <w:pPr>
        <w:spacing w:after="480"/>
      </w:pPr>
      <w:r>
        <w:rPr>
          <w:rFonts w:ascii="Calibri" w:hAnsi="Calibri"/>
          <w:b/>
          <w:color w:val="2A8C82"/>
          <w:sz w:val="20"/>
        </w:rPr>
        <w:t>CAPÍTULO 36 · MATERIAL PARA ESTUDIANTES</w:t>
      </w:r>
    </w:p>
    <w:tbl>
      <w:tblPr>
        <w:tblW w:type="auto" w:w="0"/>
        <w:jc w:val="left"/>
        <w:tblLayout w:type="fixed"/>
        <w:tblLook w:firstColumn="1" w:firstRow="1" w:lastColumn="0" w:lastRow="0" w:noHBand="0" w:noVBand="1" w:val="04A0"/>
      </w:tblPr>
      <w:tblGrid>
        <w:gridCol w:w="9648"/>
      </w:tblGrid>
      <w:tr>
        <w:trPr>
          <w:tblHeader w:val="true"/>
        </w:trPr>
        <w:tc>
          <w:tcPr>
            <w:tcW w:type="dxa" w:w="9072"/>
            <w:shd w:fill="173A5E"/>
            <w:tcMar>
              <w:top w:w="120" w:type="dxa"/>
              <w:start w:w="220" w:type="dxa"/>
              <w:bottom w:w="120" w:type="dxa"/>
              <w:end w:w="220" w:type="dxa"/>
            </w:tcMar>
          </w:tcPr>
          <w:p>
            <w:pPr>
              <w:spacing w:after="0"/>
            </w:pPr>
            <w:r>
              <w:rPr>
                <w:rFonts w:ascii="Calibri" w:hAnsi="Calibri"/>
                <w:b/>
                <w:color w:val="FFFFFF"/>
                <w:sz w:val="19"/>
              </w:rPr>
              <w:t>MÓDULO II · PATOLOGÍAS, GES Y TRATAMIENTOS</w:t>
            </w:r>
          </w:p>
        </w:tc>
      </w:tr>
    </w:tbl>
    <w:p>
      <w:pPr>
        <w:pStyle w:val="Title"/>
        <w:spacing w:before="520" w:after="360"/>
        <w:outlineLvl w:val="0"/>
      </w:pPr>
      <w:bookmarkStart w:id="1036" w:name="chapter_36"/>
      <w:r>
        <w:t>Trastornos de personalidad: evaluación dimensional y manejo clínico</w:t>
      </w:r>
      <w:bookmarkEnd w:id="1036"/>
    </w:p>
    <w:p>
      <w:pPr>
        <w:spacing w:after="80"/>
      </w:pPr>
      <w:r>
        <w:rPr>
          <w:rFonts w:ascii="Calibri" w:hAnsi="Calibri"/>
          <w:b/>
          <w:color w:val="246B8E"/>
          <w:sz w:val="26"/>
        </w:rPr>
        <w:t>Programa de Psiquiatría para internos de Medicina</w:t>
      </w:r>
    </w:p>
    <w:p>
      <w:r>
        <w:rPr>
          <w:rFonts w:ascii="Calibri" w:hAnsi="Calibri"/>
          <w:color w:val="6B7280"/>
          <w:sz w:val="22"/>
        </w:rPr>
        <w:t>Lectura complementaria · Chile · Versión final para revisión humana · 2026</w:t>
      </w:r>
    </w:p>
    <w:p/>
    <w:p/>
    <w:p/>
    <w:p/>
    <w:p/>
    <w:tbl>
      <w:tblPr>
        <w:tblW w:type="auto" w:w="0"/>
        <w:jc w:val="left"/>
        <w:tblLayout w:type="fixed"/>
        <w:tblLook w:firstColumn="1" w:firstRow="1" w:lastColumn="0" w:lastRow="0" w:noHBand="0" w:noVBand="1" w:val="04A0"/>
      </w:tblPr>
      <w:tblGrid>
        <w:gridCol w:w="9648"/>
      </w:tblGrid>
      <w:tr>
        <w:trPr>
          <w:tblHeader w:val="true"/>
        </w:trPr>
        <w:tc>
          <w:tcPr>
            <w:tcW w:type="dxa" w:w="9648"/>
            <w:shd w:fill="F3F5F6"/>
            <w:tcBorders>
              <w:start w:val="single" w:sz="18" w:color="2A8C82"/>
            </w:tcBorders>
            <w:tcMar>
              <w:top w:w="160" w:type="dxa"/>
              <w:start w:w="220" w:type="dxa"/>
              <w:bottom w:w="160" w:type="dxa"/>
              <w:end w:w="220" w:type="dxa"/>
            </w:tcMar>
          </w:tcPr>
          <w:p>
            <w:pPr>
              <w:spacing w:after="0"/>
            </w:pPr>
            <w:r>
              <w:rPr>
                <w:rFonts w:ascii="Calibri" w:hAnsi="Calibri"/>
                <w:i/>
                <w:color w:val="6B7280"/>
                <w:sz w:val="18"/>
              </w:rPr>
              <w:t>Versión docente final para revisión humana. Material propuesto y contextualizado a Chile; no corresponde a un programa oficial de la Pontificia Universidad Católica de Chile ni sustituye protocolos locales, supervisión clínica o evaluación especializada. Fuentes revisadas al 15 de agosto de 2026.</w:t>
            </w:r>
          </w:p>
        </w:tc>
      </w:tr>
    </w:tbl>
    <w:p>
      <w:r>
        <w:br w:type="page"/>
      </w:r>
    </w:p>
    <w:tbl>
      <w:tblPr>
        <w:tblW w:type="auto" w:w="0"/>
        <w:jc w:val="center"/>
        <w:tblLayout w:type="autofit"/>
        <w:tblLook w:firstColumn="1" w:firstRow="1" w:lastColumn="0" w:lastRow="0" w:noHBand="0" w:noVBand="1" w:val="04A0"/>
      </w:tblPr>
      <w:tblGrid>
        <w:gridCol w:w="9648"/>
      </w:tblGrid>
      <w:tr>
        <w:trPr>
          <w:tblHeader w:val="true"/>
        </w:trPr>
        <w:tc>
          <w:tcPr>
            <w:tcW w:type="dxa" w:w="9648"/>
            <w:vAlign w:val="center"/>
            <w:shd w:fill="EAF3F7"/>
            <w:tcBorders>
              <w:start w:val="single" w:sz="14" w:color="2A8C82"/>
            </w:tcBorders>
            <w:tcMar>
              <w:top w:w="130" w:type="dxa"/>
              <w:start w:w="190" w:type="dxa"/>
              <w:bottom w:w="130" w:type="dxa"/>
              <w:end w:w="190" w:type="dxa"/>
            </w:tcMar>
          </w:tcPr>
          <w:p>
            <w:pPr>
              <w:spacing w:after="0"/>
            </w:pPr>
            <w:r>
              <w:rPr>
                <w:b/>
                <w:color w:val="173A5E"/>
              </w:rPr>
              <w:t xml:space="preserve">PREGUNTA CLÍNICA  </w:t>
            </w:r>
            <w:r>
              <w:t>¿Cómo reconocer un trastorno de personalidad sin confundir rasgos, reacciones situacionales, episodios psiquiátricos o conflictos con una identidad patológica?</w:t>
            </w:r>
          </w:p>
        </w:tc>
      </w:tr>
    </w:tbl>
    <w:p>
      <w:pPr>
        <w:spacing w:after="0"/>
      </w:pPr>
    </w:p>
    <w:tbl>
      <w:tblPr>
        <w:tblW w:type="auto" w:w="0"/>
        <w:jc w:val="center"/>
        <w:tblLayout w:type="autofit"/>
        <w:tblLook w:firstColumn="1" w:firstRow="1" w:lastColumn="0" w:lastRow="0" w:noHBand="0" w:noVBand="1" w:val="04A0"/>
      </w:tblPr>
      <w:tblGrid>
        <w:gridCol w:w="9648"/>
      </w:tblGrid>
      <w:tr>
        <w:trPr>
          <w:tblHeader w:val="true"/>
        </w:trPr>
        <w:tc>
          <w:tcPr>
            <w:tcW w:type="dxa" w:w="9648"/>
            <w:vAlign w:val="center"/>
            <w:shd w:fill="EAF6F3"/>
            <w:tcBorders>
              <w:start w:val="single" w:sz="14" w:color="2A8C82"/>
            </w:tcBorders>
            <w:tcMar>
              <w:top w:w="130" w:type="dxa"/>
              <w:start w:w="190" w:type="dxa"/>
              <w:bottom w:w="130" w:type="dxa"/>
              <w:end w:w="190" w:type="dxa"/>
            </w:tcMar>
          </w:tcPr>
          <w:p>
            <w:pPr>
              <w:spacing w:after="0"/>
            </w:pPr>
            <w:r>
              <w:rPr>
                <w:b/>
                <w:color w:val="173A5E"/>
              </w:rPr>
              <w:t xml:space="preserve">IDEA CENTRAL  </w:t>
            </w:r>
            <w:r>
              <w:t>la personalidad se evalúa longitudinalmente por el funcionamiento del sí mismo, las relaciones y los rasgos. Una conducta difícil observada durante una consulta o una hospitalización no basta para diagnosticar un trastorno.</w:t>
            </w:r>
          </w:p>
        </w:tc>
      </w:tr>
    </w:tbl>
    <w:p>
      <w:pPr>
        <w:spacing w:after="0"/>
      </w:pPr>
    </w:p>
    <w:p>
      <w:pPr>
        <w:pStyle w:val="Heading1"/>
      </w:pPr>
      <w:r>
        <w:t>Por qué importa</w:t>
      </w:r>
    </w:p>
    <w:p>
      <w:r>
        <w:t>Los diagnósticos de personalidad pueden mejorar mucho la atención cuando permiten comprender patrones persistentes, anticipar dificultades y ofrecer un tratamiento coherente. También pueden causar daño si se usan como una etiqueta peyorativa, como explicación automática de todo síntoma o como justificación para restringir cuidados. El interno debe aprender a describir antes de nombrar, a distinguir rasgos de trastorno y a conservar incertidumbre cuando sólo dispone de una fotografía transversal.</w:t>
      </w:r>
    </w:p>
    <w:p>
      <w:r>
        <w:t>La evaluación contemporánea combina dos perspectivas. La categorial reconoce patrones clínicos históricos; la dimensional pregunta cuánto está comprometido el funcionamiento de la personalidad y qué rasgos predominan. Esta segunda mirada suele ser más útil para formular gravedad, riesgo y necesidades terapéuticas.</w:t>
      </w:r>
    </w:p>
    <w:p>
      <w:pPr>
        <w:pStyle w:val="Heading1"/>
      </w:pPr>
      <w:r>
        <w:t>Objetivos de aprendizaje</w:t>
      </w:r>
    </w:p>
    <w:p>
      <w:pPr>
        <w:keepNext/>
      </w:pPr>
      <w:r>
        <w:t>Al finalizar esta lectura, el estudiante podrá:</w:t>
      </w:r>
    </w:p>
    <w:p>
      <w:pPr>
        <w:spacing w:after="60" w:line="288" w:lineRule="auto"/>
        <w:ind w:left="432" w:hanging="216"/>
      </w:pPr>
      <w:r>
        <w:t>1. Diferenciar personalidad, rasgo, estilo y trastorno de personalidad.</w:t>
      </w:r>
    </w:p>
    <w:p>
      <w:pPr>
        <w:spacing w:after="60" w:line="288" w:lineRule="auto"/>
        <w:ind w:left="432" w:hanging="216"/>
      </w:pPr>
      <w:r>
        <w:t>2. Evaluar identidad, autodirección, empatía e intimidad.</w:t>
      </w:r>
    </w:p>
    <w:p>
      <w:pPr>
        <w:spacing w:after="60" w:line="288" w:lineRule="auto"/>
        <w:ind w:left="432" w:hanging="216"/>
      </w:pPr>
      <w:r>
        <w:t>3. Describir gravedad y dominios de rasgo con lenguaje clínico no estigmatizante.</w:t>
      </w:r>
    </w:p>
    <w:p>
      <w:pPr>
        <w:spacing w:after="60" w:line="288" w:lineRule="auto"/>
        <w:ind w:left="432" w:hanging="216"/>
      </w:pPr>
      <w:r>
        <w:t>4. Realizar un diagnóstico diferencial longitudinal.</w:t>
      </w:r>
    </w:p>
    <w:p>
      <w:pPr>
        <w:spacing w:after="60" w:line="288" w:lineRule="auto"/>
        <w:ind w:left="432" w:hanging="216"/>
      </w:pPr>
      <w:r>
        <w:t>5. Formular riesgo, recursos, comorbilidad y nivel de atención.</w:t>
      </w:r>
    </w:p>
    <w:p>
      <w:pPr>
        <w:spacing w:after="60" w:line="288" w:lineRule="auto"/>
        <w:ind w:left="432" w:hanging="216"/>
      </w:pPr>
      <w:r>
        <w:t>6. Proponer un encuadre y un plan inicial coherentes.</w:t>
      </w:r>
    </w:p>
    <w:p>
      <w:pPr>
        <w:pStyle w:val="Heading1"/>
      </w:pPr>
      <w:r>
        <w:t>Caso clínico</w:t>
      </w:r>
    </w:p>
    <w:p>
      <w:pPr>
        <w:shd w:fill="EAF3F7"/>
        <w:keepNext/>
        <w:keepLines/>
        <w:pBdr>
          <w:left w:val="single" w:sz="8" w:space="8" w:color="246B8E"/>
        </w:pBdr>
        <w:ind w:left="173" w:right="86"/>
      </w:pPr>
      <w:r>
        <w:t>Andrés, de 39 años, ha recibido diagnósticos de depresión, trastorno bipolar, TDAH, “narcisismo” y “personalidad antisocial”. Cambia de trabajo después de conflictos con jefaturas, al comienzo idealiza a sus parejas y luego las descalifica. Durante una hospitalización discute con el equipo; tras una sola entrevista, un profesional propone registrar “personalidad limítrofe”. No está claro qué conductas estaban presentes antes de los episodios afectivos, qué papel tiene el consumo de estimulantes ni cómo funciona Andrés entre las crisis.</w:t>
      </w:r>
    </w:p>
    <w:p>
      <w:pPr>
        <w:shd w:fill="EAF3F7"/>
        <w:keepLines/>
        <w:pBdr>
          <w:left w:val="single" w:sz="8" w:space="8" w:color="246B8E"/>
        </w:pBdr>
        <w:ind w:left="173" w:right="86"/>
      </w:pPr>
      <w:r>
        <w:t>El problema no se resuelve eligiendo rápidamente una etiqueta. Primero hay que reconstruir una trayectoria, separar estado actual de funcionamiento basal y determinar qué hipótesis explica mejor los patrones repetidos.</w:t>
      </w:r>
    </w:p>
    <w:p>
      <w:pPr>
        <w:pStyle w:val="Heading1"/>
      </w:pPr>
      <w:r>
        <w:t>De rasgos normales a trastorno</w:t>
      </w:r>
    </w:p>
    <w:p>
      <w:r>
        <w:t>Toda persona tiene rasgos: tendencias relativamente estables a sentir, pensar y actuar. Un estilo puede ser marcado sin producir deterioro clínicamente significativo. Se considera trastorno cuando existe un patrón persistente y poco flexible, transversal a contextos, que compromete el funcionamiento del sí mismo o interpersonal y se asocia con sufrimiento, riesgo o deterioro relevante. La intensidad de una conducta aislada no reemplaza esos requisitos.</w:t>
      </w:r>
    </w:p>
    <w:p>
      <w:r>
        <w:t>La conducta observada en urgencia está muy influida por miedo, intoxicación, abstinencia, manía, psicosis, trauma agudo, dolor, privación de sueño y por la propia dinámica institucional. “Demandante”, “difícil” o “manipulador” no son diagnósticos. Con frecuencia expresan una reacción contratransferencial del equipo y ocultan la pregunta clínica: ¿qué ocurrió, qué función tuvo la conducta y qué patrón puede demostrarse a lo largo del tiempo?</w:t>
      </w:r>
    </w:p>
    <w:p>
      <w:r>
        <w:t>El diagnóstico debe ser útil. Debe ayudar a explicar el funcionamiento, seleccionar un tratamiento y comunicar un pronóstico realista. Si sólo añade estigma o cierra prematuramente el razonamiento, es preferible documentar una formulación provisional.</w:t>
      </w:r>
    </w:p>
    <w:p>
      <w:pPr>
        <w:pStyle w:val="Heading1"/>
      </w:pPr>
      <w:r>
        <w:t>Funcionamiento de la personalidad y gravedad</w:t>
      </w:r>
    </w:p>
    <w:p>
      <w:r>
        <w:t xml:space="preserve">La evaluación dimensional comienza por cuatro áreas. La </w:t>
      </w:r>
      <w:r>
        <w:rPr>
          <w:b/>
        </w:rPr>
        <w:t>identidad</w:t>
      </w:r>
      <w:r>
        <w:t xml:space="preserve"> incluye continuidad del sentido de sí mismo, límites entre sí y otros, estabilidad de la autoestima y capacidad de integrar cualidades contradictorias. La </w:t>
      </w:r>
      <w:r>
        <w:rPr>
          <w:b/>
        </w:rPr>
        <w:t>autodirección</w:t>
      </w:r>
      <w:r>
        <w:t xml:space="preserve"> considera metas, planificación, compromisos, autorreflexión y posibilidad de modificar la conducta. La </w:t>
      </w:r>
      <w:r>
        <w:rPr>
          <w:b/>
        </w:rPr>
        <w:t>empatía</w:t>
      </w:r>
      <w:r>
        <w:t xml:space="preserve"> es la capacidad de comprender perspectivas y efectos propios en otras personas. La </w:t>
      </w:r>
      <w:r>
        <w:rPr>
          <w:b/>
        </w:rPr>
        <w:t>intimidad</w:t>
      </w:r>
      <w:r>
        <w:t xml:space="preserve"> comprende reciprocidad, confianza, cercanía y estabilidad de los vínculos.</w:t>
      </w:r>
    </w:p>
    <w:p>
      <w:r>
        <w:t>Se agregan regulación emocional, control de impulsos, mentalización, tolerancia a frustración y capacidad de aprender de la experiencia. Deben investigarse su intensidad, persistencia, extensión entre contextos y consecuencias en trabajo, estudio, pareja, amistades, parentalidad, economía, autocuidado y legalidad. La CIE-11 prioriza la gravedad —leve, moderada o grave— y permite describir dominios de rasgo. En la práctica, la gravedad suele orientar mejor el nivel de apoyo que la cantidad de criterios categoriales.</w:t>
      </w:r>
    </w:p>
    <w:p>
      <w:r>
        <w:t>Un trastorno leve produce dificultades focales con parte importante del funcionamiento conservado; uno moderado compromete varias áreas y puede asociarse a crisis y riesgo; uno grave genera alteración extensa del sí mismo y las relaciones, conductas peligrosas o deterioro sostenido. Estas categorías exigen juicio clínico: no son la simple suma mecánica de síntomas.</w:t>
      </w:r>
    </w:p>
    <w:p>
      <w:pPr>
        <w:pStyle w:val="Heading1"/>
      </w:pPr>
      <w:r>
        <w:t>Dominios de rasgo y modelos diagnósticos</w:t>
      </w:r>
    </w:p>
    <w:p>
      <w:r>
        <w:t xml:space="preserve">La CIE-11 utiliza cinco dominios principales. La </w:t>
      </w:r>
      <w:r>
        <w:rPr>
          <w:b/>
        </w:rPr>
        <w:t>afectividad negativa</w:t>
      </w:r>
      <w:r>
        <w:t xml:space="preserve"> incluye labilidad, ansiedad, vulnerabilidad y hostilidad. El </w:t>
      </w:r>
      <w:r>
        <w:rPr>
          <w:b/>
        </w:rPr>
        <w:t>desapego</w:t>
      </w:r>
      <w:r>
        <w:t xml:space="preserve"> comprende distancia emocional y social, con expresión afectiva reducida. La </w:t>
      </w:r>
      <w:r>
        <w:rPr>
          <w:b/>
        </w:rPr>
        <w:t>disocialidad</w:t>
      </w:r>
      <w:r>
        <w:t xml:space="preserve"> implica escasa consideración por derechos o sentimientos ajenos y, en algunos casos, egocentrismo. La </w:t>
      </w:r>
      <w:r>
        <w:rPr>
          <w:b/>
        </w:rPr>
        <w:t>desinhibición</w:t>
      </w:r>
      <w:r>
        <w:t xml:space="preserve"> se relaciona con impulsividad, irresponsabilidad y decisiones sin considerar consecuencias. La </w:t>
      </w:r>
      <w:r>
        <w:rPr>
          <w:b/>
        </w:rPr>
        <w:t>anancastia</w:t>
      </w:r>
      <w:r>
        <w:t xml:space="preserve"> reúne perfeccionismo rígido, control y preocupación por reglas. Puede añadirse un calificador de patrón límite.</w:t>
      </w:r>
    </w:p>
    <w:p>
      <w:r>
        <w:t>El modelo categorial del DSM organiza diagnósticos tradicionales y conserva utilidad comunicacional, pero presenta gran solapamiento y heterogeneidad: dos personas con el mismo rótulo pueden compartir pocos criterios. Su modelo alternativo también integra deterioro del funcionamiento y rasgos. Ningún sistema debe emplearse para forzar a una persona dentro de una sola caja; es legítimo describir más de un dominio y dejar el diagnóstico abierto mientras se completa la historia.</w:t>
      </w:r>
    </w:p>
    <w:p>
      <w:r>
        <w:t>Conviene traducir los términos a observaciones. En vez de “es paranoide”, escribir: “mantiene suspicacia en varias relaciones desde la adultez temprana, interpreta críticas ambiguas como ataques y ello ha deteriorado trabajo y pareja”. Esta redacción permite revisar la evidencia y reduce el esencialismo.</w:t>
      </w:r>
    </w:p>
    <w:p>
      <w:pPr>
        <w:pStyle w:val="Heading1"/>
      </w:pPr>
      <w:r>
        <w:t>Historia longitudinal y diagnóstico diferencial</w:t>
      </w:r>
    </w:p>
    <w:p>
      <w:r>
        <w:t>La entrevista explora comienzo en adolescencia o adultez temprana, continuidad, períodos de cambio, contextos y consecuencias. Se buscan patrones repetidos, no sólo anécdotas intensas. La información colateral y los registros previos pueden ser muy valiosos, respetando autorización, confidencialidad y las excepciones legales aplicables. Las entrevistas estructuradas aumentan confiabilidad cuando quien las administra está entrenado, pero no sustituyen el juicio ni la observación longitudinal.</w:t>
      </w:r>
    </w:p>
    <w:p>
      <w:r>
        <w:t>Una medida dimensional validada puede establecer una línea basal de funcionamiento o rasgos y ayudar a seguir objetivos. No debe usarse como test confirmatorio ni administrarse durante una crisis como atajo para fijar una etiqueta. Cuando el diagnóstico se formula en hospitalización, intoxicación o episodio afectivo, se deja explícita la necesidad de revisarlo después de estabilizar el estado.</w:t>
      </w:r>
    </w:p>
    <w:p>
      <w:pPr>
        <w:keepNext/>
      </w:pPr>
      <w:r>
        <w:t>Siempre hay que considerar explicaciones alternativas y comorbilidad:</w:t>
      </w:r>
    </w:p>
    <w:p>
      <w:pPr>
        <w:pStyle w:val="ListBullet"/>
      </w:pPr>
      <w:r>
        <w:t>En trastorno bipolar existen episodios sostenidos con cambio respecto de la línea basal, energía o actividad aumentadas y menor necesidad de dormir. La reactividad afectiva de minutos u horas frente a eventos interpersonales no demuestra bipolaridad.</w:t>
      </w:r>
    </w:p>
    <w:p>
      <w:pPr>
        <w:pStyle w:val="ListBullet"/>
      </w:pPr>
      <w:r>
        <w:t>El TDAH es neuroevolutivo: la inatención y la impulsividad deben rastrearse desde la infancia y en más de un contexto.</w:t>
      </w:r>
    </w:p>
    <w:p>
      <w:pPr>
        <w:pStyle w:val="ListBullet"/>
      </w:pPr>
      <w:r>
        <w:t>En autismo se investigan desde el desarrollo temprano la comunicación social, los intereses restringidos, la rigidez y la sensorialidad; no corresponde interpretar automáticamente estas diferencias como desapego o falta de empatía.</w:t>
      </w:r>
    </w:p>
    <w:p>
      <w:pPr>
        <w:pStyle w:val="ListBullet"/>
      </w:pPr>
      <w:r>
        <w:t>El TEPT y el TEPT complejo se organizan alrededor de exposición traumática y fenómenos como reexperimentación, evitación y sensación persistente de amenaza. El trauma puede contribuir a un trastorno de personalidad, pero no es requisito ni explicación universal.</w:t>
      </w:r>
    </w:p>
    <w:p>
      <w:pPr>
        <w:pStyle w:val="ListBullet"/>
      </w:pPr>
      <w:r>
        <w:t>Sustancias, fármacos y enfermedades neurológicas pueden alterar impulsividad, cognición y conducta. La temporalidad y los períodos de abstinencia son decisivos.</w:t>
      </w:r>
    </w:p>
    <w:p>
      <w:pPr>
        <w:pStyle w:val="ListBullet"/>
      </w:pPr>
      <w:r>
        <w:t>Depresión, psicosis, trastornos alimentarios y cuadros de ansiedad pueden modificar transitoriamente autoestima, relaciones y funcionamiento.</w:t>
      </w:r>
    </w:p>
    <w:p>
      <w:r>
        <w:t>Cultura, género, neurodiversidad, discriminación y condiciones materiales también modelan conductas. No debe patologizarse una estrategia de supervivencia, una norma cultural o un modo de comunicación minoritario sin demostrar un patrón disfuncional interno y persistente.</w:t>
      </w:r>
    </w:p>
    <w:p>
      <w:pPr>
        <w:pStyle w:val="Heading1"/>
      </w:pPr>
      <w:r>
        <w:t>Formulación clínica y comunicación diagnóstica</w:t>
      </w:r>
    </w:p>
    <w:p>
      <w:r>
        <w:t>Una formulación útil incluye: problema actual y desencadenante; funcionamiento basal; vulnerabilidades y rasgos; factores precipitantes y perpetuantes; comorbilidades; recursos y valores; y riesgos de suicidio, autolesión, violencia, explotación, consumo o abandono de tratamiento. En Andrés podría registrarse inicialmente: “dificultades persistentes en regulación emocional y relaciones, con rasgos de afectividad negativa y disocialidad por precisar; diagnóstico diferencial con episodios afectivos, TDAH y efectos de estimulantes”. Esto es más honesto que una certeza infundada.</w:t>
      </w:r>
    </w:p>
    <w:p>
      <w:r>
        <w:t>Al comunicar el diagnóstico, se pide permiso, se explica la evidencia y se señala lo que aún no se sabe. Conviene enfatizar que los patrones pueden cambiar, que existe tratamiento y que el nombre no define a la persona. El lenguaje debe centrarse en dificultades y capacidades, no en defectos morales.</w:t>
      </w:r>
    </w:p>
    <w:p>
      <w:pPr>
        <w:pStyle w:val="Heading1"/>
      </w:pPr>
      <w:r>
        <w:t>Principios de manejo</w:t>
      </w:r>
    </w:p>
    <w:p>
      <w:r>
        <w:t>El tratamiento comienza con una alianza clara. Validar la emoción no obliga a confirmar una interpretación inexacta. Los objetivos deben ser concretos y compartidos. El encuadre explicita frecuencia de controles, vías de contacto, respuesta a crisis, recetas, licencias, participación de terceros y límites reales del servicio. Un límite terapéutico es previsible, respetuoso y vinculado a seguridad o función; un límite punitivo busca castigar o controlar.</w:t>
      </w:r>
    </w:p>
    <w:p>
      <w:r>
        <w:t>La psicoterapia estructurada se selecciona según patrón, gravedad, motivación y disponibilidad. Los fármacos se reservan principalmente para comorbilidades bien definidas o, de manera prudente, síntomas diana con objetivo, plazo y plan de retiro. No existe un medicamento que trate “la personalidad” como conjunto. Deben evitarse polifarmacia acumulativa, sedación inespecífica y cambios reactivos después de cada conflicto.</w:t>
      </w:r>
    </w:p>
    <w:p>
      <w:r>
        <w:t>La consistencia del equipo es parte del tratamiento. Reuniones breves, una formulación compartida y registros descriptivos reducen mensajes contradictorios. Una hospitalización sólo se indica por una necesidad clínica concreta —por ejemplo, riesgo que no puede manejarse ambulatoriamente o compromiso médico—, con propósito, duración y plan de egreso. El diagnóstico de personalidad nunca justifica negar una evaluación de urgencia ni imponer una internación.</w:t>
      </w:r>
    </w:p>
    <w:p>
      <w:pPr>
        <w:pStyle w:val="Heading1"/>
      </w:pPr>
      <w:r>
        <w:t>Errores frecuentes</w:t>
      </w:r>
    </w:p>
    <w:p>
      <w:pPr>
        <w:pStyle w:val="ListBullet"/>
      </w:pPr>
      <w:r>
        <w:t>Diagnosticar personalidad durante una crisis aislada o una única entrevista.</w:t>
      </w:r>
    </w:p>
    <w:p>
      <w:pPr>
        <w:pStyle w:val="ListBullet"/>
      </w:pPr>
      <w:r>
        <w:t>Convertir “paciente difícil” en una explicación clínica.</w:t>
      </w:r>
    </w:p>
    <w:p>
      <w:pPr>
        <w:pStyle w:val="ListBullet"/>
      </w:pPr>
      <w:r>
        <w:t>Confundir reactividad afectiva con hipomanía, o atribuir toda impulsividad a TDAH.</w:t>
      </w:r>
    </w:p>
    <w:p>
      <w:pPr>
        <w:pStyle w:val="ListBullet"/>
      </w:pPr>
      <w:r>
        <w:t>Suponer que trauma, cultura o marginalidad explican por sí solos un patrón.</w:t>
      </w:r>
    </w:p>
    <w:p>
      <w:pPr>
        <w:pStyle w:val="ListBullet"/>
      </w:pPr>
      <w:r>
        <w:t>Informar una etiqueta sin describir evidencia, incertidumbre y utilidad.</w:t>
      </w:r>
    </w:p>
    <w:p>
      <w:pPr>
        <w:pStyle w:val="ListBullet"/>
      </w:pPr>
      <w:r>
        <w:t>Prescribir varios fármacos para conductas distintas sin objetivos medibles.</w:t>
      </w:r>
    </w:p>
    <w:p>
      <w:pPr>
        <w:pStyle w:val="Heading1"/>
      </w:pPr>
      <w:r>
        <w:t>Para recordar</w:t>
      </w:r>
    </w:p>
    <w:p>
      <w:pPr>
        <w:spacing w:after="60" w:line="288" w:lineRule="auto"/>
        <w:ind w:left="432" w:hanging="216"/>
        <w:shd w:fill="EAF6F3"/>
        <w:keepNext/>
        <w:keepLines/>
        <w:pBdr>
          <w:left w:val="single" w:sz="8" w:space="8" w:color="2A8C82"/>
        </w:pBdr>
      </w:pPr>
      <w:r>
        <w:t>1. El diagnóstico de personalidad es longitudinal, contextual y funcional.</w:t>
      </w:r>
    </w:p>
    <w:p>
      <w:pPr>
        <w:spacing w:after="60" w:line="288" w:lineRule="auto"/>
        <w:ind w:left="432" w:hanging="216"/>
        <w:shd w:fill="EAF6F3"/>
        <w:keepNext/>
        <w:keepLines/>
        <w:pBdr>
          <w:left w:val="single" w:sz="8" w:space="8" w:color="2A8C82"/>
        </w:pBdr>
      </w:pPr>
      <w:r>
        <w:t>2. Rasgo intenso no equivale por sí solo a trastorno.</w:t>
      </w:r>
    </w:p>
    <w:p>
      <w:pPr>
        <w:spacing w:after="60" w:line="288" w:lineRule="auto"/>
        <w:ind w:left="432" w:hanging="216"/>
        <w:shd w:fill="EAF6F3"/>
        <w:keepNext/>
        <w:keepLines/>
        <w:pBdr>
          <w:left w:val="single" w:sz="8" w:space="8" w:color="2A8C82"/>
        </w:pBdr>
      </w:pPr>
      <w:r>
        <w:t>3. La gravedad del funcionamiento orienta el nivel de cuidado.</w:t>
      </w:r>
    </w:p>
    <w:p>
      <w:pPr>
        <w:spacing w:after="60" w:line="288" w:lineRule="auto"/>
        <w:ind w:left="432" w:hanging="216"/>
        <w:shd w:fill="EAF6F3"/>
        <w:keepNext/>
        <w:keepLines/>
        <w:pBdr>
          <w:left w:val="single" w:sz="8" w:space="8" w:color="2A8C82"/>
        </w:pBdr>
      </w:pPr>
      <w:r>
        <w:t>4. Episodios, sustancias, trauma y neurodesarrollo deben excluirse o integrarse.</w:t>
      </w:r>
    </w:p>
    <w:p>
      <w:pPr>
        <w:spacing w:after="60" w:line="288" w:lineRule="auto"/>
        <w:ind w:left="432" w:hanging="216"/>
        <w:shd w:fill="EAF6F3"/>
        <w:keepLines/>
        <w:pBdr>
          <w:left w:val="single" w:sz="8" w:space="8" w:color="2A8C82"/>
        </w:pBdr>
      </w:pPr>
      <w:r>
        <w:t>5. Un encuadre claro y respetuoso es terapéutico; un límite punitivo no lo es.</w:t>
      </w:r>
    </w:p>
    <w:p>
      <w:pPr>
        <w:pStyle w:val="Heading1"/>
      </w:pPr>
      <w:r>
        <w:t>Bibliografía esencial</w:t>
      </w:r>
    </w:p>
    <w:p>
      <w:pPr>
        <w:pStyle w:val="Bibliography"/>
      </w:pPr>
      <w:r>
        <w:t xml:space="preserve">• World Health Organization. </w:t>
      </w:r>
      <w:r>
        <w:rPr>
          <w:i/>
        </w:rPr>
        <w:t>Clinical Descriptions and Diagnostic Requirements for ICD-11 Mental, Behavioural and Neurodevelopmental Disorders</w:t>
      </w:r>
      <w:r>
        <w:t xml:space="preserve">. 2024. </w:t>
      </w:r>
      <w:hyperlink r:id="rId69">
        <w:r>
          <w:rPr>
            <w:color w:val="246B8E"/>
            <w:u w:val="single"/>
          </w:rPr>
          <w:t>Publicación oficial</w:t>
        </w:r>
      </w:hyperlink>
      <w:r>
        <w:t>.</w:t>
      </w:r>
    </w:p>
    <w:p>
      <w:pPr>
        <w:pStyle w:val="Bibliography"/>
      </w:pPr>
      <w:r>
        <w:t xml:space="preserve">• American Psychiatric Association. </w:t>
      </w:r>
      <w:r>
        <w:rPr>
          <w:i/>
        </w:rPr>
        <w:t>Diagnostic and Statistical Manual of Mental Disorders: DSM-5-TR</w:t>
      </w:r>
      <w:r>
        <w:t xml:space="preserve">. American Psychiatric Association Publishing; 2022. </w:t>
      </w:r>
      <w:hyperlink r:id="rId49">
        <w:r>
          <w:rPr>
            <w:color w:val="246B8E"/>
            <w:u w:val="single"/>
          </w:rPr>
          <w:t>DOI</w:t>
        </w:r>
      </w:hyperlink>
      <w:r>
        <w:t>.</w:t>
      </w:r>
    </w:p>
    <w:p>
      <w:pPr>
        <w:pStyle w:val="Bibliography"/>
      </w:pPr>
      <w:r>
        <w:t xml:space="preserve">• Tyrer P, Mulder R, Kim YR, Crawford MJ. The development of the ICD-11 classification of personality disorders: an amalgam of science, pragmatism, and politics. </w:t>
      </w:r>
      <w:r>
        <w:rPr>
          <w:i/>
        </w:rPr>
        <w:t>Annual Review of Clinical Psychology</w:t>
      </w:r>
      <w:r>
        <w:t xml:space="preserve">. 2019;15:481–502. </w:t>
      </w:r>
      <w:hyperlink r:id="rId105">
        <w:r>
          <w:rPr>
            <w:color w:val="246B8E"/>
            <w:u w:val="single"/>
          </w:rPr>
          <w:t>DOI</w:t>
        </w:r>
      </w:hyperlink>
      <w:r>
        <w:t>.</w:t>
      </w:r>
    </w:p>
    <w:p>
      <w:pPr>
        <w:pStyle w:val="Bibliography"/>
      </w:pPr>
      <w:r>
        <w:t xml:space="preserve">• Bateman AW, Gunderson J, Mulder R. Treatment of personality disorder. </w:t>
      </w:r>
      <w:r>
        <w:rPr>
          <w:i/>
        </w:rPr>
        <w:t>Lancet</w:t>
      </w:r>
      <w:r>
        <w:t xml:space="preserve">. 2015;385:735–743. </w:t>
      </w:r>
      <w:hyperlink r:id="rId106">
        <w:r>
          <w:rPr>
            <w:color w:val="246B8E"/>
            <w:u w:val="single"/>
          </w:rPr>
          <w:t>DOI</w:t>
        </w:r>
      </w:hyperlink>
      <w:r>
        <w:t>.</w:t>
      </w:r>
    </w:p>
    <w:p>
      <w:pPr>
        <w:pStyle w:val="Bibliography"/>
      </w:pPr>
      <w:r>
        <w:t xml:space="preserve">• National Institute for Health and Care Excellence. </w:t>
      </w:r>
      <w:r>
        <w:rPr>
          <w:i/>
        </w:rPr>
        <w:t>Borderline personality disorder: recognition and management</w:t>
      </w:r>
      <w:r>
        <w:t xml:space="preserve">. CG78; 2009, revisada en 2024. </w:t>
      </w:r>
      <w:hyperlink r:id="rId107">
        <w:r>
          <w:rPr>
            <w:color w:val="246B8E"/>
            <w:u w:val="single"/>
          </w:rPr>
          <w:t>Guía</w:t>
        </w:r>
      </w:hyperlink>
      <w:r>
        <w:t>.</w:t>
      </w:r>
    </w:p>
    <w:p>
      <w:r>
        <w:br w:type="page"/>
      </w:r>
    </w:p>
    <w:p>
      <w:pPr>
        <w:spacing w:after="480"/>
      </w:pPr>
      <w:r>
        <w:rPr>
          <w:rFonts w:ascii="Calibri" w:hAnsi="Calibri"/>
          <w:b/>
          <w:color w:val="2A8C82"/>
          <w:sz w:val="20"/>
        </w:rPr>
        <w:t>CAPÍTULO 37 · MATERIAL PARA ESTUDIANTES</w:t>
      </w:r>
    </w:p>
    <w:tbl>
      <w:tblPr>
        <w:tblW w:type="auto" w:w="0"/>
        <w:jc w:val="left"/>
        <w:tblLayout w:type="fixed"/>
        <w:tblLook w:firstColumn="1" w:firstRow="1" w:lastColumn="0" w:lastRow="0" w:noHBand="0" w:noVBand="1" w:val="04A0"/>
      </w:tblPr>
      <w:tblGrid>
        <w:gridCol w:w="9648"/>
      </w:tblGrid>
      <w:tr>
        <w:trPr>
          <w:tblHeader w:val="true"/>
        </w:trPr>
        <w:tc>
          <w:tcPr>
            <w:tcW w:type="dxa" w:w="9072"/>
            <w:shd w:fill="173A5E"/>
            <w:tcMar>
              <w:top w:w="120" w:type="dxa"/>
              <w:start w:w="220" w:type="dxa"/>
              <w:bottom w:w="120" w:type="dxa"/>
              <w:end w:w="220" w:type="dxa"/>
            </w:tcMar>
          </w:tcPr>
          <w:p>
            <w:pPr>
              <w:spacing w:after="0"/>
            </w:pPr>
            <w:r>
              <w:rPr>
                <w:rFonts w:ascii="Calibri" w:hAnsi="Calibri"/>
                <w:b/>
                <w:color w:val="FFFFFF"/>
                <w:sz w:val="19"/>
              </w:rPr>
              <w:t>MÓDULO II · PATOLOGÍAS, GES Y TRATAMIENTOS</w:t>
            </w:r>
          </w:p>
        </w:tc>
      </w:tr>
    </w:tbl>
    <w:p>
      <w:pPr>
        <w:pStyle w:val="Title"/>
        <w:spacing w:before="520" w:after="360"/>
        <w:outlineLvl w:val="0"/>
      </w:pPr>
      <w:bookmarkStart w:id="1037" w:name="chapter_37"/>
      <w:r>
        <w:t>Trastorno límite de la personalidad: diagnóstico, crisis y tratamiento basado en evidencia</w:t>
      </w:r>
      <w:bookmarkEnd w:id="1037"/>
    </w:p>
    <w:p>
      <w:pPr>
        <w:spacing w:after="80"/>
      </w:pPr>
      <w:r>
        <w:rPr>
          <w:rFonts w:ascii="Calibri" w:hAnsi="Calibri"/>
          <w:b/>
          <w:color w:val="246B8E"/>
          <w:sz w:val="26"/>
        </w:rPr>
        <w:t>Programa de Psiquiatría para internos de Medicina</w:t>
      </w:r>
    </w:p>
    <w:p>
      <w:r>
        <w:rPr>
          <w:rFonts w:ascii="Calibri" w:hAnsi="Calibri"/>
          <w:color w:val="6B7280"/>
          <w:sz w:val="22"/>
        </w:rPr>
        <w:t>Lectura complementaria · Chile · Versión final para revisión humana · 2026</w:t>
      </w:r>
    </w:p>
    <w:p/>
    <w:p/>
    <w:p/>
    <w:p/>
    <w:p/>
    <w:tbl>
      <w:tblPr>
        <w:tblW w:type="auto" w:w="0"/>
        <w:jc w:val="left"/>
        <w:tblLayout w:type="fixed"/>
        <w:tblLook w:firstColumn="1" w:firstRow="1" w:lastColumn="0" w:lastRow="0" w:noHBand="0" w:noVBand="1" w:val="04A0"/>
      </w:tblPr>
      <w:tblGrid>
        <w:gridCol w:w="9648"/>
      </w:tblGrid>
      <w:tr>
        <w:trPr>
          <w:tblHeader w:val="true"/>
        </w:trPr>
        <w:tc>
          <w:tcPr>
            <w:tcW w:type="dxa" w:w="9648"/>
            <w:shd w:fill="F3F5F6"/>
            <w:tcBorders>
              <w:start w:val="single" w:sz="18" w:color="2A8C82"/>
            </w:tcBorders>
            <w:tcMar>
              <w:top w:w="160" w:type="dxa"/>
              <w:start w:w="220" w:type="dxa"/>
              <w:bottom w:w="160" w:type="dxa"/>
              <w:end w:w="220" w:type="dxa"/>
            </w:tcMar>
          </w:tcPr>
          <w:p>
            <w:pPr>
              <w:spacing w:after="0"/>
            </w:pPr>
            <w:r>
              <w:rPr>
                <w:rFonts w:ascii="Calibri" w:hAnsi="Calibri"/>
                <w:i/>
                <w:color w:val="6B7280"/>
                <w:sz w:val="18"/>
              </w:rPr>
              <w:t>Versión docente final para revisión humana. Material propuesto y contextualizado a Chile; no corresponde a un programa oficial de la Pontificia Universidad Católica de Chile ni sustituye protocolos locales, supervisión clínica o evaluación especializada. Fuentes revisadas al 15 de agosto de 2026.</w:t>
            </w:r>
          </w:p>
        </w:tc>
      </w:tr>
    </w:tbl>
    <w:p>
      <w:r>
        <w:br w:type="page"/>
      </w:r>
    </w:p>
    <w:tbl>
      <w:tblPr>
        <w:tblW w:type="auto" w:w="0"/>
        <w:jc w:val="center"/>
        <w:tblLayout w:type="autofit"/>
        <w:tblLook w:firstColumn="1" w:firstRow="1" w:lastColumn="0" w:lastRow="0" w:noHBand="0" w:noVBand="1" w:val="04A0"/>
      </w:tblPr>
      <w:tblGrid>
        <w:gridCol w:w="9648"/>
      </w:tblGrid>
      <w:tr>
        <w:trPr>
          <w:tblHeader w:val="true"/>
        </w:trPr>
        <w:tc>
          <w:tcPr>
            <w:tcW w:type="dxa" w:w="9648"/>
            <w:vAlign w:val="center"/>
            <w:shd w:fill="EAF3F7"/>
            <w:tcBorders>
              <w:start w:val="single" w:sz="14" w:color="2A8C82"/>
            </w:tcBorders>
            <w:tcMar>
              <w:top w:w="130" w:type="dxa"/>
              <w:start w:w="190" w:type="dxa"/>
              <w:bottom w:w="130" w:type="dxa"/>
              <w:end w:w="190" w:type="dxa"/>
            </w:tcMar>
          </w:tcPr>
          <w:p>
            <w:pPr>
              <w:spacing w:after="0"/>
            </w:pPr>
            <w:r>
              <w:rPr>
                <w:b/>
                <w:color w:val="173A5E"/>
              </w:rPr>
              <w:t xml:space="preserve">PREGUNTA CLÍNICA  </w:t>
            </w:r>
            <w:r>
              <w:t>¿Cómo comprender la inestabilidad, evaluar la conducta suicida y ofrecer un manejo que no aumente dependencia, fragmentación ni estigma?</w:t>
            </w:r>
          </w:p>
        </w:tc>
      </w:tr>
    </w:tbl>
    <w:p>
      <w:pPr>
        <w:spacing w:after="0"/>
      </w:pPr>
    </w:p>
    <w:tbl>
      <w:tblPr>
        <w:tblW w:type="auto" w:w="0"/>
        <w:jc w:val="center"/>
        <w:tblLayout w:type="autofit"/>
        <w:tblLook w:firstColumn="1" w:firstRow="1" w:lastColumn="0" w:lastRow="0" w:noHBand="0" w:noVBand="1" w:val="04A0"/>
      </w:tblPr>
      <w:tblGrid>
        <w:gridCol w:w="9648"/>
      </w:tblGrid>
      <w:tr>
        <w:trPr>
          <w:tblHeader w:val="true"/>
        </w:trPr>
        <w:tc>
          <w:tcPr>
            <w:tcW w:type="dxa" w:w="9648"/>
            <w:vAlign w:val="center"/>
            <w:shd w:fill="EAF6F3"/>
            <w:tcBorders>
              <w:start w:val="single" w:sz="14" w:color="2A8C82"/>
            </w:tcBorders>
            <w:tcMar>
              <w:top w:w="130" w:type="dxa"/>
              <w:start w:w="190" w:type="dxa"/>
              <w:bottom w:w="130" w:type="dxa"/>
              <w:end w:w="190" w:type="dxa"/>
            </w:tcMar>
          </w:tcPr>
          <w:p>
            <w:pPr>
              <w:spacing w:after="0"/>
            </w:pPr>
            <w:r>
              <w:rPr>
                <w:b/>
                <w:color w:val="173A5E"/>
              </w:rPr>
              <w:t xml:space="preserve">IDEA CENTRAL  </w:t>
            </w:r>
            <w:r>
              <w:t>el trastorno límite de la personalidad es tratable. La atención combina evaluación dinámica del riesgo, una respuesta de crisis breve y estructurada y acceso a psicoterapia organizada; ni la autolesión es sinónimo de “manipulación” ni cada crisis exige hospitalización o más fármacos.</w:t>
            </w:r>
          </w:p>
        </w:tc>
      </w:tr>
    </w:tbl>
    <w:p>
      <w:pPr>
        <w:spacing w:after="0"/>
      </w:pPr>
    </w:p>
    <w:p>
      <w:pPr>
        <w:pStyle w:val="Heading1"/>
      </w:pPr>
      <w:r>
        <w:t>Por qué importa</w:t>
      </w:r>
    </w:p>
    <w:p>
      <w:r>
        <w:t>Las personas con trastorno límite de la personalidad (TLP) consultan con frecuencia por crisis afectivas, autolesiones, intentos suicidas, consumo, disociación y conflictos relacionales. Pueden recibir atención fragmentada, múltiples medicamentos y mensajes contradictorios. El estigma profesional aumenta el riesgo: atribuir toda conducta a “manipulación” puede ocultar una intoxicación, una depresión, violencia interpersonal o un aumento real de la intención suicida.</w:t>
      </w:r>
    </w:p>
    <w:p>
      <w:r>
        <w:t>El médico general y el interno no necesitan conducir una psicoterapia especializada, pero sí reconocer el patrón, evaluar seguridad, responder sin castigo, tratar comorbilidades con criterio y facilitar continuidad.</w:t>
      </w:r>
    </w:p>
    <w:p>
      <w:pPr>
        <w:pStyle w:val="Heading1"/>
      </w:pPr>
      <w:r>
        <w:t>Objetivos de aprendizaje</w:t>
      </w:r>
    </w:p>
    <w:p>
      <w:pPr>
        <w:keepNext/>
      </w:pPr>
      <w:r>
        <w:t>Al finalizar esta lectura, el estudiante podrá:</w:t>
      </w:r>
    </w:p>
    <w:p>
      <w:pPr>
        <w:spacing w:after="60" w:line="288" w:lineRule="auto"/>
        <w:ind w:left="432" w:hanging="216"/>
      </w:pPr>
      <w:r>
        <w:t>1. Reconocer el patrón clínico y la heterogeneidad del TLP.</w:t>
      </w:r>
    </w:p>
    <w:p>
      <w:pPr>
        <w:spacing w:after="60" w:line="288" w:lineRule="auto"/>
        <w:ind w:left="432" w:hanging="216"/>
      </w:pPr>
      <w:r>
        <w:t>2. Diferenciarlo de bipolaridad, trauma, TDAH y consumo de sustancias.</w:t>
      </w:r>
    </w:p>
    <w:p>
      <w:pPr>
        <w:spacing w:after="60" w:line="288" w:lineRule="auto"/>
        <w:ind w:left="432" w:hanging="216"/>
      </w:pPr>
      <w:r>
        <w:t>3. Distinguir autolesión, intento suicida y variación aguda del riesgo.</w:t>
      </w:r>
    </w:p>
    <w:p>
      <w:pPr>
        <w:spacing w:after="60" w:line="288" w:lineRule="auto"/>
        <w:ind w:left="432" w:hanging="216"/>
      </w:pPr>
      <w:r>
        <w:t>4. Organizar una respuesta clínica de crisis basada en seguridad y validación.</w:t>
      </w:r>
    </w:p>
    <w:p>
      <w:pPr>
        <w:spacing w:after="60" w:line="288" w:lineRule="auto"/>
        <w:ind w:left="432" w:hanging="216"/>
      </w:pPr>
      <w:r>
        <w:t>5. Explicar el rol central de las psicoterapias estructuradas.</w:t>
      </w:r>
    </w:p>
    <w:p>
      <w:pPr>
        <w:spacing w:after="60" w:line="288" w:lineRule="auto"/>
        <w:ind w:left="432" w:hanging="216"/>
      </w:pPr>
      <w:r>
        <w:t>6. Usar farmacoterapia sólo para indicaciones definidas.</w:t>
      </w:r>
    </w:p>
    <w:p>
      <w:pPr>
        <w:spacing w:after="60" w:line="288" w:lineRule="auto"/>
        <w:ind w:left="432" w:hanging="216"/>
      </w:pPr>
      <w:r>
        <w:t>7. Coordinar al equipo sin culpabilizar, dividir ni abandonar.</w:t>
      </w:r>
    </w:p>
    <w:p>
      <w:pPr>
        <w:pStyle w:val="Heading1"/>
      </w:pPr>
      <w:r>
        <w:t>Caso clínico</w:t>
      </w:r>
    </w:p>
    <w:p>
      <w:pPr>
        <w:shd w:fill="EAF3F7"/>
        <w:keepNext/>
        <w:keepLines/>
        <w:pBdr>
          <w:left w:val="single" w:sz="8" w:space="8" w:color="246B8E"/>
        </w:pBdr>
        <w:ind w:left="173" w:right="86"/>
      </w:pPr>
      <w:r>
        <w:t>Fernanda, de 27 años, presenta autolesiones desde la adolescencia, relaciones intensas e inestables, sensación persistente de vacío y episodios breves de despersonalización cuando teme ser abandonada. Consulta después de ingerir medicamentos durante una ruptura. Ha recibido cinco psicofármacos y varias hospitalizaciones breves, pero ninguna psicoterapia estructurada. Hoy expresa vergüenza, ambivalencia respecto de morir y temor a que el equipo “se canse” de ella.</w:t>
      </w:r>
    </w:p>
    <w:p>
      <w:pPr>
        <w:shd w:fill="EAF3F7"/>
        <w:keepLines/>
        <w:pBdr>
          <w:left w:val="single" w:sz="8" w:space="8" w:color="246B8E"/>
        </w:pBdr>
        <w:ind w:left="173" w:right="86"/>
      </w:pPr>
      <w:r>
        <w:t>La prioridad es tratar una posible intoxicación y evaluar el riesgo actual. Después habrá que reconstruir la secuencia de la crisis, distinguir el riesgo basal del aumento agudo y ofrecer un plan longitudinal que no dependa de internaciones repetidas.</w:t>
      </w:r>
    </w:p>
    <w:p>
      <w:pPr>
        <w:pStyle w:val="Heading1"/>
      </w:pPr>
      <w:r>
        <w:t>El patrón clínico y su heterogeneidad</w:t>
      </w:r>
    </w:p>
    <w:p>
      <w:r>
        <w:t>El TLP combina, en diferentes proporciones, inestabilidad afectiva intensa y reactiva; temor al abandono; relaciones que pueden oscilar entre idealización y devaluación; identidad inestable; vacío; impulsividad; rabia; autolesiones o conducta suicida; y fenómenos disociativos o suspicacia transitoria bajo estrés. No todas las personas presentan todos los rasgos ni la misma gravedad. El diagnóstico requiere persistencia, transversalidad, deterioro y una historia longitudinal; una crisis de pareja aislada no basta.</w:t>
      </w:r>
    </w:p>
    <w:p>
      <w:r>
        <w:t>Una formulación del desarrollo puede integrar sensibilidad emocional, dificultades para modular activación y experiencias de invalidación o trauma, sin convertirlas en causas obligatorias. Un ciclo frecuente es: señal interpersonal ambigua, interpretación de rechazo, rápida activación, acción impulsiva, reacción del entorno y luego vergüenza o nuevo conflicto. El ciclo explica una función; no absuelve de responsabilidad ni atribuye maldad.</w:t>
      </w:r>
    </w:p>
    <w:p>
      <w:r>
        <w:t>El pronóstico debe comunicarse con esperanza realista. Muchos síntomas y conductas disminuyen con tratamiento y maduración, aunque el funcionamiento social y laboral puede requerir apoyo prolongado. El TLP no es una identidad fija ni una sentencia de cronicidad.</w:t>
      </w:r>
    </w:p>
    <w:p>
      <w:r>
        <w:t>La evaluación inicial se traduce en un plan documentado, integral y centrado en la persona. Una medida cuantitativa validada puede ayudar a definir gravedad, funcionamiento y blancos de tratamiento, pero no reemplaza la historia ni confirma el diagnóstico. El resultado sirve como línea basal compartida, no como puntaje de “personalidad difícil”.</w:t>
      </w:r>
    </w:p>
    <w:p>
      <w:pPr>
        <w:pStyle w:val="Heading1"/>
      </w:pPr>
      <w:r>
        <w:t>Diagnóstico diferencial</w:t>
      </w:r>
    </w:p>
    <w:p>
      <w:r>
        <w:t>En el TLP, los cambios afectivos suelen ser rápidos, reactivos a acontecimientos interpersonales y parte de un patrón continuo de identidad y relaciones. En el trastorno bipolar, la manía o hipomanía forma episodios sostenidos, con cambio claro respecto del basal, aumento de energía y actividad dirigida a objetivos y menor necesidad de dormir. La irritabilidad o la respuesta subjetiva a un estabilizador no confirman bipolaridad. Ambos trastornos pueden coexistir.</w:t>
      </w:r>
    </w:p>
    <w:p>
      <w:r>
        <w:t>En TEPT y TEPT complejo deben demostrarse exposición traumática y una organización clínica alrededor de reexperimentación, evitación y sensación de amenaza; existen solapamientos en regulación emocional, autoconcepto y vínculos. El TDAH exige una trayectoria neuroevolutiva de inatención o impulsividad desde la infancia. Sustancias pueden intensificar labilidad, paranoia o desinhibición, por lo que se investiga temporalidad y abstinencia. También se exploran depresión mayor, trastornos alimentarios, psicosis, disociación, autismo y condiciones médicas.</w:t>
      </w:r>
    </w:p>
    <w:p>
      <w:r>
        <w:t>En adolescentes puede diagnosticarse TLP cuando el patrón es persistente y clínicamente significativo. Evitar el diagnóstico por miedo al estigma también puede retrasar un tratamiento eficaz; la solución es una evaluación rigurosa, comunicación cuidadosa y revisión longitudinal.</w:t>
      </w:r>
    </w:p>
    <w:p>
      <w:pPr>
        <w:pStyle w:val="Heading1"/>
      </w:pPr>
      <w:r>
        <w:t>Autolesión y riesgo suicida</w:t>
      </w:r>
    </w:p>
    <w:p>
      <w:r>
        <w:t>La autolesión sin intención suicida puede regular emoción, terminar una experiencia disociativa, autocastigar, recuperar control o comunicar sufrimiento. Un intento suicida implica al menos alguna intención de morir; en la práctica puede existir ambivalencia. Se pregunta directamente qué esperaba que ocurriera, qué hizo para evitar ser encontrado, cómo entiende hoy el episodio y qué función cumplió. No se infiere intención sólo desde la letalidad médica.</w:t>
      </w:r>
    </w:p>
    <w:p>
      <w:r>
        <w:t>El riesgo basal de suicidio es elevado, pero nunca vuelve inútil la evaluación aguda. Hay que buscar una desviación respecto de la línea habitual: método más letal, mayor planificación, acceso a medios, desesperanza, intoxicación, psicosis, insomnio intenso, pérdida reciente, aislamiento, violencia, ruptura del tratamiento o incapacidad de colaborar con un plan seguro. Se integran conducta reciente, intención, capacidad, factores precipitantes, apoyos y entorno; una escala no predice el desenlace individual.</w:t>
      </w:r>
    </w:p>
    <w:p>
      <w:r>
        <w:t>La información colateral puede ser esencial. Con consentimiento, se incorpora a una persona de apoyo; si existe una amenaza grave e inminente, se actúa según deberes clínicos, normativa y supervisión. Se restringen medios letales de forma concreta y se documenta la formulación de riesgo y el razonamiento sobre nivel de atención.</w:t>
      </w:r>
    </w:p>
    <w:p>
      <w:r>
        <w:t>La hospitalización se decide por necesidad clínica, no por diagnóstico. Está indicada ante compromiso médico o riesgo que no puede contenerse en un medio menos restrictivo. Debe tener propósito explícito, duración revisable y plan de egreso. Hospitalizar automáticamente cada crisis puede reforzar dependencia o interrumpir el tratamiento; negarse a hospitalizar “porque tiene TLP” es igualmente peligroso.</w:t>
      </w:r>
    </w:p>
    <w:p>
      <w:pPr>
        <w:pStyle w:val="Heading1"/>
      </w:pPr>
      <w:r>
        <w:t>Respuesta a la crisis</w:t>
      </w:r>
    </w:p>
    <w:p>
      <w:r>
        <w:t>Primero se estabilizan lesiones, intoxicación, abstinencia o alteración médica. La entrevista se realiza con tono calmado y preguntas concretas. Validar significa reconocer la experiencia —“esto parece haber sido insoportable”—, no aprobar la conducta ni confirmar una interpretación —“por eso no había otra alternativa”—. Se evita discutir si la persona “realmente quería morir”.</w:t>
      </w:r>
    </w:p>
    <w:p>
      <w:r>
        <w:t>Luego se reconstruye la cadena: vulnerabilidades previas, evento, interpretación, emoción, impulso, acción y consecuencias. Se identifica qué habilidad o apoyo podría interrumpirla. Un plan de seguridad escrito y accesible incluye señales personales, estrategias internas, lugares o personas que distraen, contactos de apoyo, equipo tratante, servicios de urgencia y medidas de restricción de medios. No es un “contrato de no suicidio” ni garantiza seguridad; organiza acciones específicas.</w:t>
      </w:r>
    </w:p>
    <w:p>
      <w:r>
        <w:t>Conviene evitar cambios farmacológicos impulsivos en cada crisis y promesas de disponibilidad imposible. El cierre define qué ocurrirá hoy, quién contactará a quién y cuándo será el seguimiento. Una revisión cercana y el retorno rápido al tratamiento longitudinal reducen fragmentación.</w:t>
      </w:r>
    </w:p>
    <w:p>
      <w:pPr>
        <w:pStyle w:val="Heading1"/>
      </w:pPr>
      <w:r>
        <w:t>Psicoterapia estructurada</w:t>
      </w:r>
    </w:p>
    <w:p>
      <w:r>
        <w:t>La psicoterapia es el tratamiento central. La terapia dialéctico-conductual (DBT) jerarquiza blancos —conductas que amenazan la vida, que interfieren con tratamiento y que reducen calidad de vida—, enseña habilidades y utiliza análisis de cadenas, equilibrando aceptación y cambio. La terapia basada en mentalización (MBT) busca recuperar la capacidad de comprender estados mentales propios y ajenos cuando aumenta la activación. La psicoterapia focalizada en la transferencia (TFP) trabaja patrones relacionales dentro de la relación terapéutica. La terapia de esquemas y un manejo psiquiátrico general estructurado también disponen de evidencia.</w:t>
      </w:r>
    </w:p>
    <w:p>
      <w:r>
        <w:t>No se trata de escoger una “escuela ganadora”. Importan un modelo coherente, terapeutas entrenados, supervisión, objetivos compartidos, capacidad de sostener el tratamiento y ajuste a la persona. La intervención suele ser prolongada y gradual: primero supervivencia y continuidad, después reducción de conductas que interfieren, construcción de calidad de vida y mayor estabilidad de identidad y vínculos. La familia o red puede participar con consentimiento y educación, no como vigilancia coercitiva.</w:t>
      </w:r>
    </w:p>
    <w:p>
      <w:pPr>
        <w:pStyle w:val="Heading1"/>
      </w:pPr>
      <w:r>
        <w:t>Farmacoterapia y trabajo de equipo</w:t>
      </w:r>
    </w:p>
    <w:p>
      <w:r>
        <w:t>No existe un fármaco que trate el núcleo completo del TLP. Se tratan comorbilidades sólidamente diagnosticadas —por ejemplo, depresión mayor, bipolaridad o TDAH— sin asumir que cada síntoma representa otra enfermedad. Si se ensaya un medicamento para un síntoma diana, se define objetivo, plazo, medición y criterio de suspensión. Se considera toxicidad en sobredosis, cantidad dispensada e interacciones.</w:t>
      </w:r>
    </w:p>
    <w:p>
      <w:r>
        <w:t>La guía APA vigente recomienda revisar trastornos coexistentes, psicoterapias y ensayos previos antes de añadir un psicotrópico. Cualquier fármaco dirigido al TLP debe ser coadyuvante de psicoterapia, limitado en el tiempo y orientado a un blanco mensurable. La lista completa se concilia al menos cada seis meses para identificar falta de beneficio, duplicaciones y oportunidades de reducción o suspensión; ese mínimo no reemplaza controles más frecuentes de eficacia, riesgo o efectos adversos.</w:t>
      </w:r>
    </w:p>
    <w:p>
      <w:r>
        <w:t>Las benzodiazepinas crónicas suelen ser una mala estrategia por desinhibición, dependencia, deterioro cognitivo y riesgo de sobredosis. También deben evitarse combinaciones acumulativas de antipsicóticos, estabilizadores y antidepresivos sin hipótesis clara. La deprescripción es gradual, compartida y coordinada; quitar cinco fármacos abruptamente tampoco es buena práctica.</w:t>
      </w:r>
    </w:p>
    <w:p>
      <w:r>
        <w:t>Las oscilaciones relacionales pueden reproducirse en el equipo: un profesional es idealizado, otro devaluado y aparecen planes incompatibles. Reuniones breves, una formulación común, responsabilidades claras y documentación descriptiva protegen a la persona y a los clínicos. En Fernanda, el plan razonable integra estabilización médica, formulación dinámica del riesgo, restricción de acceso a medicamentos, seguimiento cercano, deprescripción gradual y derivación a psicoterapia estructurada.</w:t>
      </w:r>
    </w:p>
    <w:p>
      <w:pPr>
        <w:pStyle w:val="Heading1"/>
      </w:pPr>
      <w:r>
        <w:t>Errores frecuentes</w:t>
      </w:r>
    </w:p>
    <w:p>
      <w:pPr>
        <w:pStyle w:val="ListBullet"/>
      </w:pPr>
      <w:r>
        <w:t>Llamar “manipulación” a toda autolesión o crisis.</w:t>
      </w:r>
    </w:p>
    <w:p>
      <w:pPr>
        <w:pStyle w:val="ListBullet"/>
      </w:pPr>
      <w:r>
        <w:t>Confundir riesgo crónico con ausencia de una urgencia nueva.</w:t>
      </w:r>
    </w:p>
    <w:p>
      <w:pPr>
        <w:pStyle w:val="ListBullet"/>
      </w:pPr>
      <w:r>
        <w:t>Hospitalizar siempre o negar siempre la hospitalización por el diagnóstico.</w:t>
      </w:r>
    </w:p>
    <w:p>
      <w:pPr>
        <w:pStyle w:val="ListBullet"/>
      </w:pPr>
      <w:r>
        <w:t>Diagnosticar bipolaridad por oscilaciones de pocas horas sin síndrome episódico.</w:t>
      </w:r>
    </w:p>
    <w:p>
      <w:pPr>
        <w:pStyle w:val="ListBullet"/>
      </w:pPr>
      <w:r>
        <w:t>Prescribir un fármaco para cada conducta y mantenerlo sin reevaluación.</w:t>
      </w:r>
    </w:p>
    <w:p>
      <w:pPr>
        <w:pStyle w:val="ListBullet"/>
      </w:pPr>
      <w:r>
        <w:t>Usar límites como amenaza, castigo o retirada afectiva.</w:t>
      </w:r>
    </w:p>
    <w:p>
      <w:pPr>
        <w:pStyle w:val="Heading1"/>
      </w:pPr>
      <w:r>
        <w:t>Para recordar</w:t>
      </w:r>
    </w:p>
    <w:p>
      <w:pPr>
        <w:spacing w:after="60" w:line="288" w:lineRule="auto"/>
        <w:ind w:left="432" w:hanging="216"/>
        <w:shd w:fill="EAF6F3"/>
        <w:keepNext/>
        <w:keepLines/>
        <w:pBdr>
          <w:left w:val="single" w:sz="8" w:space="8" w:color="2A8C82"/>
        </w:pBdr>
      </w:pPr>
      <w:r>
        <w:t>1. El TLP es heterogéneo, tratable y no define a la persona.</w:t>
      </w:r>
    </w:p>
    <w:p>
      <w:pPr>
        <w:spacing w:after="60" w:line="288" w:lineRule="auto"/>
        <w:ind w:left="432" w:hanging="216"/>
        <w:shd w:fill="EAF6F3"/>
        <w:keepNext/>
        <w:keepLines/>
        <w:pBdr>
          <w:left w:val="single" w:sz="8" w:space="8" w:color="2A8C82"/>
        </w:pBdr>
      </w:pPr>
      <w:r>
        <w:t>2. El riesgo agudo se evalúa como cambio sobre una línea basal, nunca se presume.</w:t>
      </w:r>
    </w:p>
    <w:p>
      <w:pPr>
        <w:spacing w:after="60" w:line="288" w:lineRule="auto"/>
        <w:ind w:left="432" w:hanging="216"/>
        <w:shd w:fill="EAF6F3"/>
        <w:keepNext/>
        <w:keepLines/>
        <w:pBdr>
          <w:left w:val="single" w:sz="8" w:space="8" w:color="2A8C82"/>
        </w:pBdr>
      </w:pPr>
      <w:r>
        <w:t>3. Una crisis requiere seguridad, validación, estructura y continuidad.</w:t>
      </w:r>
    </w:p>
    <w:p>
      <w:pPr>
        <w:spacing w:after="60" w:line="288" w:lineRule="auto"/>
        <w:ind w:left="432" w:hanging="216"/>
        <w:shd w:fill="EAF6F3"/>
        <w:keepNext/>
        <w:keepLines/>
        <w:pBdr>
          <w:left w:val="single" w:sz="8" w:space="8" w:color="2A8C82"/>
        </w:pBdr>
      </w:pPr>
      <w:r>
        <w:t>4. La psicoterapia organizada es el tratamiento central.</w:t>
      </w:r>
    </w:p>
    <w:p>
      <w:pPr>
        <w:spacing w:after="60" w:line="288" w:lineRule="auto"/>
        <w:ind w:left="432" w:hanging="216"/>
        <w:shd w:fill="EAF6F3"/>
        <w:keepLines/>
        <w:pBdr>
          <w:left w:val="single" w:sz="8" w:space="8" w:color="2A8C82"/>
        </w:pBdr>
      </w:pPr>
      <w:r>
        <w:t>5. Farmacoterapia prudente y coherencia del equipo previenen daño iatrogénico.</w:t>
      </w:r>
    </w:p>
    <w:p>
      <w:pPr>
        <w:pStyle w:val="Heading1"/>
      </w:pPr>
      <w:r>
        <w:t>Bibliografía esencial</w:t>
      </w:r>
    </w:p>
    <w:p>
      <w:pPr>
        <w:pStyle w:val="Bibliography"/>
      </w:pPr>
      <w:r>
        <w:t xml:space="preserve">• American Psychiatric Association. </w:t>
      </w:r>
      <w:r>
        <w:rPr>
          <w:i/>
        </w:rPr>
        <w:t>The American Psychiatric Association Practice Guideline for the Treatment of Patients With Borderline Personality Disorder</w:t>
      </w:r>
      <w:r>
        <w:t xml:space="preserve">. Publicada en 2024; edición vigente catalogada por APA como 2025. </w:t>
      </w:r>
      <w:hyperlink r:id="rId108">
        <w:r>
          <w:rPr>
            <w:color w:val="246B8E"/>
            <w:u w:val="single"/>
          </w:rPr>
          <w:t>Página oficial</w:t>
        </w:r>
      </w:hyperlink>
      <w:r>
        <w:t xml:space="preserve"> y </w:t>
      </w:r>
      <w:hyperlink r:id="rId109">
        <w:r>
          <w:rPr>
            <w:color w:val="246B8E"/>
            <w:u w:val="single"/>
          </w:rPr>
          <w:t>resumen ejecutivo</w:t>
        </w:r>
      </w:hyperlink>
      <w:r>
        <w:t>.</w:t>
      </w:r>
    </w:p>
    <w:p>
      <w:pPr>
        <w:pStyle w:val="Bibliography"/>
      </w:pPr>
      <w:r>
        <w:t xml:space="preserve">• National Institute for Health and Care Excellence. </w:t>
      </w:r>
      <w:r>
        <w:rPr>
          <w:i/>
        </w:rPr>
        <w:t>Borderline personality disorder: recognition and management</w:t>
      </w:r>
      <w:r>
        <w:t xml:space="preserve">. CG78; 2009, revisada en 2024. </w:t>
      </w:r>
      <w:hyperlink r:id="rId107">
        <w:r>
          <w:rPr>
            <w:color w:val="246B8E"/>
            <w:u w:val="single"/>
          </w:rPr>
          <w:t>Guía</w:t>
        </w:r>
      </w:hyperlink>
      <w:r>
        <w:t>.</w:t>
      </w:r>
    </w:p>
    <w:p>
      <w:pPr>
        <w:pStyle w:val="Bibliography"/>
      </w:pPr>
      <w:r>
        <w:t xml:space="preserve">• World Health Organization. </w:t>
      </w:r>
      <w:r>
        <w:rPr>
          <w:i/>
        </w:rPr>
        <w:t>Clinical Descriptions and Diagnostic Requirements for ICD-11 Mental, Behavioural and Neurodevelopmental Disorders</w:t>
      </w:r>
      <w:r>
        <w:t xml:space="preserve">. 2024. </w:t>
      </w:r>
      <w:hyperlink r:id="rId69">
        <w:r>
          <w:rPr>
            <w:color w:val="246B8E"/>
            <w:u w:val="single"/>
          </w:rPr>
          <w:t>Publicación oficial</w:t>
        </w:r>
      </w:hyperlink>
      <w:r>
        <w:t>.</w:t>
      </w:r>
    </w:p>
    <w:p>
      <w:pPr>
        <w:pStyle w:val="Bibliography"/>
      </w:pPr>
      <w:r>
        <w:t xml:space="preserve">• Storebø OJ, Stoffers-Winterling JM, Völlm BA, et al. Psychological therapies for people with borderline personality disorder. </w:t>
      </w:r>
      <w:r>
        <w:rPr>
          <w:i/>
        </w:rPr>
        <w:t>Cochrane Database of Systematic Reviews</w:t>
      </w:r>
      <w:r>
        <w:t xml:space="preserve">. 2020;5:CD012955. </w:t>
      </w:r>
      <w:hyperlink r:id="rId110">
        <w:r>
          <w:rPr>
            <w:color w:val="246B8E"/>
            <w:u w:val="single"/>
          </w:rPr>
          <w:t>DOI</w:t>
        </w:r>
      </w:hyperlink>
      <w:r>
        <w:t>.</w:t>
      </w:r>
    </w:p>
    <w:p>
      <w:pPr>
        <w:pStyle w:val="Bibliography"/>
      </w:pPr>
      <w:r>
        <w:t xml:space="preserve">• Gunderson JG, Herpertz SC, Skodol AE, Torgersen S, Zanarini MC. Borderline personality disorder. </w:t>
      </w:r>
      <w:r>
        <w:rPr>
          <w:i/>
        </w:rPr>
        <w:t>Nature Reviews Disease Primers</w:t>
      </w:r>
      <w:r>
        <w:t xml:space="preserve">. 2018;4:18029. </w:t>
      </w:r>
      <w:hyperlink r:id="rId111">
        <w:r>
          <w:rPr>
            <w:color w:val="246B8E"/>
            <w:u w:val="single"/>
          </w:rPr>
          <w:t>DOI</w:t>
        </w:r>
      </w:hyperlink>
      <w:r>
        <w:t>.</w:t>
      </w:r>
    </w:p>
    <w:p>
      <w:r>
        <w:br w:type="page"/>
      </w:r>
    </w:p>
    <w:p>
      <w:pPr>
        <w:spacing w:after="480"/>
      </w:pPr>
      <w:r>
        <w:rPr>
          <w:rFonts w:ascii="Calibri" w:hAnsi="Calibri"/>
          <w:b/>
          <w:color w:val="2A8C82"/>
          <w:sz w:val="20"/>
        </w:rPr>
        <w:t>CAPÍTULO 38 · MATERIAL PARA ESTUDIANTES</w:t>
      </w:r>
    </w:p>
    <w:tbl>
      <w:tblPr>
        <w:tblW w:type="auto" w:w="0"/>
        <w:jc w:val="left"/>
        <w:tblLayout w:type="fixed"/>
        <w:tblLook w:firstColumn="1" w:firstRow="1" w:lastColumn="0" w:lastRow="0" w:noHBand="0" w:noVBand="1" w:val="04A0"/>
      </w:tblPr>
      <w:tblGrid>
        <w:gridCol w:w="9648"/>
      </w:tblGrid>
      <w:tr>
        <w:trPr>
          <w:tblHeader w:val="true"/>
        </w:trPr>
        <w:tc>
          <w:tcPr>
            <w:tcW w:type="dxa" w:w="9072"/>
            <w:shd w:fill="173A5E"/>
            <w:tcMar>
              <w:top w:w="120" w:type="dxa"/>
              <w:start w:w="220" w:type="dxa"/>
              <w:bottom w:w="120" w:type="dxa"/>
              <w:end w:w="220" w:type="dxa"/>
            </w:tcMar>
          </w:tcPr>
          <w:p>
            <w:pPr>
              <w:spacing w:after="0"/>
            </w:pPr>
            <w:r>
              <w:rPr>
                <w:rFonts w:ascii="Calibri" w:hAnsi="Calibri"/>
                <w:b/>
                <w:color w:val="FFFFFF"/>
                <w:sz w:val="19"/>
              </w:rPr>
              <w:t>MÓDULO II · PATOLOGÍAS, GES Y TRATAMIENTOS</w:t>
            </w:r>
          </w:p>
        </w:tc>
      </w:tr>
    </w:tbl>
    <w:p>
      <w:pPr>
        <w:pStyle w:val="Title"/>
        <w:spacing w:before="520" w:after="360"/>
        <w:outlineLvl w:val="0"/>
      </w:pPr>
      <w:bookmarkStart w:id="1038" w:name="chapter_38"/>
      <w:r>
        <w:t>Trastornos de la conducta alimentaria en adultos</w:t>
      </w:r>
      <w:bookmarkEnd w:id="1038"/>
    </w:p>
    <w:p>
      <w:pPr>
        <w:spacing w:after="80"/>
      </w:pPr>
      <w:r>
        <w:rPr>
          <w:rFonts w:ascii="Calibri" w:hAnsi="Calibri"/>
          <w:b/>
          <w:color w:val="246B8E"/>
          <w:sz w:val="26"/>
        </w:rPr>
        <w:t>Programa de Psiquiatría para internos de Medicina</w:t>
      </w:r>
    </w:p>
    <w:p>
      <w:r>
        <w:rPr>
          <w:rFonts w:ascii="Calibri" w:hAnsi="Calibri"/>
          <w:color w:val="6B7280"/>
          <w:sz w:val="22"/>
        </w:rPr>
        <w:t>Lectura complementaria · Chile · Versión final para revisión humana · 2026</w:t>
      </w:r>
    </w:p>
    <w:p/>
    <w:p/>
    <w:p/>
    <w:p/>
    <w:p/>
    <w:tbl>
      <w:tblPr>
        <w:tblW w:type="auto" w:w="0"/>
        <w:jc w:val="left"/>
        <w:tblLayout w:type="fixed"/>
        <w:tblLook w:firstColumn="1" w:firstRow="1" w:lastColumn="0" w:lastRow="0" w:noHBand="0" w:noVBand="1" w:val="04A0"/>
      </w:tblPr>
      <w:tblGrid>
        <w:gridCol w:w="9648"/>
      </w:tblGrid>
      <w:tr>
        <w:trPr>
          <w:tblHeader w:val="true"/>
        </w:trPr>
        <w:tc>
          <w:tcPr>
            <w:tcW w:type="dxa" w:w="9648"/>
            <w:shd w:fill="F3F5F6"/>
            <w:tcBorders>
              <w:start w:val="single" w:sz="18" w:color="2A8C82"/>
            </w:tcBorders>
            <w:tcMar>
              <w:top w:w="160" w:type="dxa"/>
              <w:start w:w="220" w:type="dxa"/>
              <w:bottom w:w="160" w:type="dxa"/>
              <w:end w:w="220" w:type="dxa"/>
            </w:tcMar>
          </w:tcPr>
          <w:p>
            <w:pPr>
              <w:spacing w:after="0"/>
            </w:pPr>
            <w:r>
              <w:rPr>
                <w:rFonts w:ascii="Calibri" w:hAnsi="Calibri"/>
                <w:i/>
                <w:color w:val="6B7280"/>
                <w:sz w:val="18"/>
              </w:rPr>
              <w:t>Versión docente final para revisión humana. Material propuesto y contextualizado a Chile; no corresponde a un programa oficial de la Pontificia Universidad Católica de Chile ni sustituye protocolos locales, supervisión clínica o evaluación especializada. Fuentes revisadas al 15 de agosto de 2026.</w:t>
            </w:r>
          </w:p>
        </w:tc>
      </w:tr>
    </w:tbl>
    <w:p>
      <w:r>
        <w:br w:type="page"/>
      </w:r>
    </w:p>
    <w:tbl>
      <w:tblPr>
        <w:tblW w:type="auto" w:w="0"/>
        <w:jc w:val="center"/>
        <w:tblLayout w:type="autofit"/>
        <w:tblLook w:firstColumn="1" w:firstRow="1" w:lastColumn="0" w:lastRow="0" w:noHBand="0" w:noVBand="1" w:val="04A0"/>
      </w:tblPr>
      <w:tblGrid>
        <w:gridCol w:w="9648"/>
      </w:tblGrid>
      <w:tr>
        <w:trPr>
          <w:tblHeader w:val="true"/>
        </w:trPr>
        <w:tc>
          <w:tcPr>
            <w:tcW w:type="dxa" w:w="9648"/>
            <w:vAlign w:val="center"/>
            <w:shd w:fill="EAF3F7"/>
            <w:tcBorders>
              <w:start w:val="single" w:sz="14" w:color="2A8C82"/>
            </w:tcBorders>
            <w:tcMar>
              <w:top w:w="130" w:type="dxa"/>
              <w:start w:w="190" w:type="dxa"/>
              <w:bottom w:w="130" w:type="dxa"/>
              <w:end w:w="190" w:type="dxa"/>
            </w:tcMar>
          </w:tcPr>
          <w:p>
            <w:pPr>
              <w:spacing w:after="0"/>
            </w:pPr>
            <w:r>
              <w:rPr>
                <w:b/>
                <w:color w:val="173A5E"/>
              </w:rPr>
              <w:t xml:space="preserve">PREGUNTA CLÍNICA  </w:t>
            </w:r>
            <w:r>
              <w:t>¿Cómo detectar un trastorno alimentario que puede ocultarse detrás de un peso aparentemente normal y reconocer cuándo existe inestabilidad médica?</w:t>
            </w:r>
          </w:p>
        </w:tc>
      </w:tr>
    </w:tbl>
    <w:p>
      <w:pPr>
        <w:spacing w:after="0"/>
      </w:pPr>
    </w:p>
    <w:tbl>
      <w:tblPr>
        <w:tblW w:type="auto" w:w="0"/>
        <w:jc w:val="center"/>
        <w:tblLayout w:type="autofit"/>
        <w:tblLook w:firstColumn="1" w:firstRow="1" w:lastColumn="0" w:lastRow="0" w:noHBand="0" w:noVBand="1" w:val="04A0"/>
      </w:tblPr>
      <w:tblGrid>
        <w:gridCol w:w="9648"/>
      </w:tblGrid>
      <w:tr>
        <w:trPr>
          <w:tblHeader w:val="true"/>
        </w:trPr>
        <w:tc>
          <w:tcPr>
            <w:tcW w:type="dxa" w:w="9648"/>
            <w:vAlign w:val="center"/>
            <w:shd w:fill="EAF6F3"/>
            <w:tcBorders>
              <w:start w:val="single" w:sz="14" w:color="2A8C82"/>
            </w:tcBorders>
            <w:tcMar>
              <w:top w:w="130" w:type="dxa"/>
              <w:start w:w="190" w:type="dxa"/>
              <w:bottom w:w="130" w:type="dxa"/>
              <w:end w:w="190" w:type="dxa"/>
            </w:tcMar>
          </w:tcPr>
          <w:p>
            <w:pPr>
              <w:spacing w:after="0"/>
            </w:pPr>
            <w:r>
              <w:rPr>
                <w:b/>
                <w:color w:val="173A5E"/>
              </w:rPr>
              <w:t xml:space="preserve">IDEA CENTRAL  </w:t>
            </w:r>
            <w:r>
              <w:t>la gravedad no se lee sólo en el índice de masa corporal. La velocidad de pérdida, las conductas compensatorias, las alteraciones fisiológicas, la psicopatología alimentaria y la trayectoria completa determinan el riesgo.</w:t>
            </w:r>
          </w:p>
        </w:tc>
      </w:tr>
    </w:tbl>
    <w:p>
      <w:pPr>
        <w:spacing w:after="0"/>
      </w:pPr>
    </w:p>
    <w:p>
      <w:pPr>
        <w:pStyle w:val="Heading1"/>
      </w:pPr>
      <w:r>
        <w:t>Por qué importa</w:t>
      </w:r>
    </w:p>
    <w:p>
      <w:r>
        <w:t>Los trastornos de la conducta alimentaria (TCA) combinan alta morbilidad psiquiátrica con complicaciones médicas potencialmente letales. Pueden pasar inadvertidos en personas cuyo peso está dentro o sobre el rango esperado, en hombres, en adultos mayores y después de cirugía bariátrica. Una felicitación automática por bajar de peso puede reforzar una enfermedad grave.</w:t>
      </w:r>
    </w:p>
    <w:p>
      <w:r>
        <w:t>La tarea inicial del médico no es decidir si el problema es “médico o psicológico”, sino reconocer el patrón, evaluar estabilidad, proteger frente a realimentación insegura y coordinar tratamiento especializado. Los números orientan, pero ningún punto de corte aislado reemplaza la apreciación clínica.</w:t>
      </w:r>
    </w:p>
    <w:p>
      <w:pPr>
        <w:pStyle w:val="Heading1"/>
      </w:pPr>
      <w:r>
        <w:t>Objetivos de aprendizaje</w:t>
      </w:r>
    </w:p>
    <w:p>
      <w:pPr>
        <w:keepNext/>
      </w:pPr>
      <w:r>
        <w:t>Al finalizar esta lectura, el estudiante podrá:</w:t>
      </w:r>
    </w:p>
    <w:p>
      <w:pPr>
        <w:spacing w:after="60" w:line="288" w:lineRule="auto"/>
        <w:ind w:left="432" w:hanging="216"/>
      </w:pPr>
      <w:r>
        <w:t>1. Reconocer anorexia nerviosa, bulimia, trastorno por atracones, ARFID y presentaciones atípicas.</w:t>
      </w:r>
    </w:p>
    <w:p>
      <w:pPr>
        <w:spacing w:after="60" w:line="288" w:lineRule="auto"/>
        <w:ind w:left="432" w:hanging="216"/>
      </w:pPr>
      <w:r>
        <w:t>2. Obtener una historia alimentaria y de compensación sin estigmatizar.</w:t>
      </w:r>
    </w:p>
    <w:p>
      <w:pPr>
        <w:spacing w:after="60" w:line="288" w:lineRule="auto"/>
        <w:ind w:left="432" w:hanging="216"/>
      </w:pPr>
      <w:r>
        <w:t>3. Evaluar estabilidad médica y riesgo de síndrome de realimentación.</w:t>
      </w:r>
    </w:p>
    <w:p>
      <w:pPr>
        <w:spacing w:after="60" w:line="288" w:lineRule="auto"/>
        <w:ind w:left="432" w:hanging="216"/>
      </w:pPr>
      <w:r>
        <w:t>4. Seleccionar un nivel de atención proporcional.</w:t>
      </w:r>
    </w:p>
    <w:p>
      <w:pPr>
        <w:spacing w:after="60" w:line="288" w:lineRule="auto"/>
        <w:ind w:left="432" w:hanging="216"/>
      </w:pPr>
      <w:r>
        <w:t>5. Explicar los componentes psicológicos y nutricionales del tratamiento.</w:t>
      </w:r>
    </w:p>
    <w:p>
      <w:pPr>
        <w:spacing w:after="60" w:line="288" w:lineRule="auto"/>
        <w:ind w:left="432" w:hanging="216"/>
      </w:pPr>
      <w:r>
        <w:t>6. Utilizar farmacoterapia con indicaciones y precauciones correctas.</w:t>
      </w:r>
    </w:p>
    <w:p>
      <w:pPr>
        <w:pStyle w:val="Heading1"/>
      </w:pPr>
      <w:r>
        <w:t>Caso clínico</w:t>
      </w:r>
    </w:p>
    <w:p>
      <w:pPr>
        <w:shd w:fill="EAF3F7"/>
        <w:keepNext/>
        <w:keepLines/>
        <w:pBdr>
          <w:left w:val="single" w:sz="8" w:space="8" w:color="246B8E"/>
        </w:pBdr>
        <w:ind w:left="173" w:right="86"/>
      </w:pPr>
      <w:r>
        <w:t>Daniela, de 32 años, perdió 18 kg en seis meses. Su IMC permanece en un rango que suele considerarse “normal”, pero tiene bradicardia, mareos al ponerse de pie, amenorrea, ejercicio compulsivo y miedo intenso a recuperar peso. Alterna restricción con episodios de pérdida de control y vómitos. Su familia cree que “se ve saludable porque no está flaca”.</w:t>
      </w:r>
    </w:p>
    <w:p>
      <w:pPr>
        <w:shd w:fill="EAF3F7"/>
        <w:keepLines/>
        <w:pBdr>
          <w:left w:val="single" w:sz="8" w:space="8" w:color="246B8E"/>
        </w:pBdr>
        <w:ind w:left="173" w:right="86"/>
      </w:pPr>
      <w:r>
        <w:t>La trayectoria, los signos vitales y las purgas contradicen esa impresión. Daniela puede tener anorexia nerviosa atípica u otra presentación mixta y requiere una evaluación médica urgente antes de discutir un tratamiento ambulatorio.</w:t>
      </w:r>
    </w:p>
    <w:p>
      <w:pPr>
        <w:pStyle w:val="Heading1"/>
      </w:pPr>
      <w:r>
        <w:t>Presentaciones clínicas</w:t>
      </w:r>
    </w:p>
    <w:p>
      <w:r>
        <w:t>La anorexia nerviosa combina restricción de la ingesta, peso significativamente bajo para el contexto, miedo intenso a aumentar y alteración en la vivencia del peso o en el reconocimiento de gravedad. En la anorexia atípica existe el mismo patrón psicopatológico y una pérdida importante, pero el peso actual no está bajo. La inestabilidad médica puede ser comparable; el cuerpo recuerda la velocidad y magnitud de la pérdida, no la categoría del IMC.</w:t>
      </w:r>
    </w:p>
    <w:p>
      <w:r>
        <w:t>En la bulimia nerviosa hay atracones recurrentes —ingesta con sensación de pérdida de control— y conductas compensatorias inapropiadas, sin requerirse bajo peso. En el trastorno por atracones no existe compensación regular. La ingesta evitativa/restrictiva (ARFID) se relaciona con sensibilidad sensorial, temor a consecuencias como atragantarse o escaso interés por comer, sin que la motivación central sea peso o figura. Existen otras presentaciones especificadas, como purgas sin atracones o síndrome de ingesta nocturna.</w:t>
      </w:r>
    </w:p>
    <w:p>
      <w:r>
        <w:t>Restricción, atracón, purga, ejercicio compulsivo y sobrevaloración de peso o figura atraviesan las categorías. Por eso conviene describir el circuito conductual completo además del diagnóstico.</w:t>
      </w:r>
    </w:p>
    <w:p>
      <w:pPr>
        <w:pStyle w:val="Heading1"/>
      </w:pPr>
      <w:r>
        <w:t>Cómo preguntar</w:t>
      </w:r>
    </w:p>
    <w:p>
      <w:r>
        <w:t>La entrevista incluye trayectoria ponderal —no sólo el peso de hoy—, velocidad de cambio, peso máximo y mínimo adulto, reglas, ayunos, exclusiones, rituales y situaciones evitadas. Se pregunta por atracones objetivos o subjetivos y por pérdida de control; discutir si la cantidad “cuenta” antes de escuchar su vivencia puede cerrar la conversación.</w:t>
      </w:r>
    </w:p>
    <w:p>
      <w:r>
        <w:t>Las conductas compensatorias incluyen vómitos, laxantes, diuréticos, manipulación de insulina, estimulantes, suplementos, ejercicio y restricción posterior. Se exploran imagen corporal, chequeo, evitación, pesaje, importancia atribuida a la figura y miedo a cambios. También menstruación o función sexual, fertilidad, sueño, frío, mareos, síncope, dolor, síntomas digestivos y capacidad de concentración.</w:t>
      </w:r>
    </w:p>
    <w:p>
      <w:r>
        <w:t>Hay contextos que modifican presentación y riesgo: diabetes, embarazo, deporte competitivo, menopausia, cirugía bariátrica y trabajo por turnos. Deben evaluarse depresión, TOC, ansiedad, trauma, sustancias, autolesión y suicidio. Se pregunta de manera neutral: “Algunas personas intentan compensar lo que comieron; ¿te ha ocurrido con vómitos, ejercicio, ayuno o medicamentos?”.</w:t>
      </w:r>
    </w:p>
    <w:p>
      <w:r>
        <w:t>El peso se mide con consentimiento y una explicación clínica. Una medición ciega puede reducir daño en ciertas personas si no impide decisiones compartidas. Nunca se moralizan alimentos ni se utiliza la consulta para dar consejos de dieta no indicados.</w:t>
      </w:r>
    </w:p>
    <w:p>
      <w:pPr>
        <w:pStyle w:val="Heading1"/>
      </w:pPr>
      <w:r>
        <w:t>Evaluación médica y señales de alarma</w:t>
      </w:r>
    </w:p>
    <w:p>
      <w:r>
        <w:t>Se registran pulso, presión acostada y de pie, temperatura, hidratación y examen cardiovascular, abdominal, neurológico y de signos de purga o malnutrición. El estudio suele incluir hemograma, electrolitos, función renal y hepática, glucosa, magnesio y fósforo, ajustado a conducta y comorbilidad. El ECG evalúa bradicardia, ritmo, QTc y efectos de electrolitos o fármacos. Un laboratorio normal no excluye un TCA ni garantiza estabilidad.</w:t>
      </w:r>
    </w:p>
    <w:p>
      <w:r>
        <w:t>Preocupan especialmente bradicardia marcada, hipotensión u ortostatismo, síncope, hipotermia, deshidratación, hipoglicemia, alteraciones de potasio, fósforo o magnesio, QTc prolongado, arritmia, debilidad significativa, pérdida rápida, purga incontrolable, rechazo de ingesta, embarazo con deterioro o riesgo suicida. La decisión de hospitalizar integra tendencia, magnitud del cambio, enfermedad concomitante, soporte y posibilidad real de controles; los umbrales locales son apoyos, no permisos para ignorar a quien está empeorando.</w:t>
      </w:r>
    </w:p>
    <w:p>
      <w:r>
        <w:t>Las complicaciones abarcan reducción de masa cardíaca, arritmias e hipotensión; hipogonadismo y baja densidad ósea; enlentecimiento digestivo y constipación; lesión renal y deshidratación. Los vómitos pueden causar hipokalemia, alcalosis, esofagitis, erosión dental y aumento parotídeo. Algunas alteraciones tiroideas son adaptativas a inanición y no deben tratarse automáticamente como hipotiroidismo primario.</w:t>
      </w:r>
    </w:p>
    <w:p>
      <w:pPr>
        <w:pStyle w:val="Heading1"/>
      </w:pPr>
      <w:r>
        <w:t>Síndrome de realimentación y nivel de atención</w:t>
      </w:r>
    </w:p>
    <w:p>
      <w:r>
        <w:t>Al reintroducir nutrientes en una persona malnutrida aumenta la insulina y se producen desplazamientos intracelulares, en particular de fósforo, además de cambios en potasio, magnesio, líquidos y vitaminas. Antes de aumentar el aporte se evalúa el riesgo; cuando corresponde se administra tiamina y se monitorizan electrolitos, balance, signos vitales y estado clínico. El síndrome puede producir insuficiencia cardíaca, arritmias, alteraciones neurológicas y muerte.</w:t>
      </w:r>
    </w:p>
    <w:p>
      <w:r>
        <w:t>Un fósforo basal normal no elimina el riesgo: puede caer después de iniciar la alimentación. Importan la magnitud y velocidad de pérdida, el tiempo con ingesta mínima, el estado clínico y las alteraciones previas, no sólo IMC. La frecuencia de controles y la suplementación de fósforo, potasio, magnesio y vitaminas siguen un protocolo de realimentación y la experiencia del equipo; no deben improvisarse desde una cifra aislada.</w:t>
      </w:r>
    </w:p>
    <w:p>
      <w:r>
        <w:t>El temor a realimentar tampoco debe prolongar una inanición peligrosa. Los protocolos contemporáneos favorecen una nutrición suficientemente activa con vigilancia estrecha, individualizada por riesgo y experiencia del equipo. La realimentación es una intervención médica y nutricional, no una simple orden de “comer más”.</w:t>
      </w:r>
    </w:p>
    <w:p>
      <w:r>
        <w:t>La hospitalización médica se indica ante inestabilidad fisiológica o complicaciones. Una unidad especializada o atención intensiva puede requerirse por riesgo psiquiátrico, deterioro acelerado, fracaso ambulatorio o imposibilidad de contener conductas. El manejo ambulatorio exige equipo coordinado, controles frecuentes y una vía clara para escalar cuidados.</w:t>
      </w:r>
    </w:p>
    <w:p>
      <w:pPr>
        <w:pStyle w:val="Heading1"/>
      </w:pPr>
      <w:r>
        <w:t>Tratamiento interdisciplinario</w:t>
      </w:r>
    </w:p>
    <w:p>
      <w:r>
        <w:t>La rehabilitación nutricional y la normalización conductual son tratamientos centrales. El plan busca regularidad, suficiencia y flexibilidad; reducir purgas y ejercicio compulsivo; recuperar función física, cognitiva y social; y prevenir recaídas. Dietista o nutricionista con experiencia en TCA, medicina, salud mental y, cuando procede, familia o pareja deben transmitir un mensaje común.</w:t>
      </w:r>
    </w:p>
    <w:p>
      <w:r>
        <w:t>En adultos, la terapia cognitivo-conductual mejorada (CBT-E) es una alternativa transdiagnóstica relevante. Para anorexia existen además MANTRA y manejo clínico especializado de apoyo, según preferencias, disponibilidad y experiencia. En bulimia y trastorno por atracones se utilizan intervenciones cognitivo-conductuales; la terapia interpersonal puede ser útil en casos seleccionados. El tratamiento no debe supeditarse a que la persona “quiera subir de peso” desde el inicio: la ambivalencia es parte del cuadro y se trabaja sin coerción innecesaria.</w:t>
      </w:r>
    </w:p>
    <w:p>
      <w:r>
        <w:t>Las metas se revisan en conjunto y abarcan estabilidad médica, patrón alimentario, cogniciones, comorbilidades, vínculos, estudio o trabajo. La recuperación no se define sólo por alcanzar un peso.</w:t>
      </w:r>
    </w:p>
    <w:p>
      <w:pPr>
        <w:pStyle w:val="Heading1"/>
      </w:pPr>
      <w:r>
        <w:t>Farmacoterapia</w:t>
      </w:r>
    </w:p>
    <w:p>
      <w:r>
        <w:t>En anorexia ningún fármaco sustituye la realimentación ni ha demostrado por sí solo una restauración robusta y sostenida del peso. Olanzapina puede considerarse en adultos seleccionados dentro de atención especializada, explicando beneficio modesto y vigilando efectos metabólicos y neurológicos.</w:t>
      </w:r>
    </w:p>
    <w:p>
      <w:r>
        <w:t>Fluoxetina posee evidencia en bulimia, una vez atendida la estabilidad médica, pero no reemplaza psicoterapia y rehabilitación. Bupropión está contraindicado en personas con anorexia nerviosa o bulimia actual o previa debido al riesgo convulsivo. En trastorno por atracones la psicoterapia sigue siendo central. En adultos que prefieren medicación o no responden a psicoterapia sola, la guía APA sugiere considerar un antidepresivo o lisdexanfetamina; la elección exige revisar regulación local, riesgo cardiovascular, potencial de abuso, reproducción y comorbilidad. Reducir atracones no equivale automáticamente a resolver imagen corporal, nutrición o deterioro funcional.</w:t>
      </w:r>
    </w:p>
    <w:p>
      <w:r>
        <w:t>Debe evitarse prescribir fármacos para bajar de peso sin explorar primero un TCA. El medicamento elegido se integra a un plan, con objetivo, duración, riesgos y reevaluación.</w:t>
      </w:r>
    </w:p>
    <w:p>
      <w:pPr>
        <w:pStyle w:val="Heading1"/>
      </w:pPr>
      <w:r>
        <w:t>Errores frecuentes</w:t>
      </w:r>
    </w:p>
    <w:p>
      <w:pPr>
        <w:pStyle w:val="ListBullet"/>
      </w:pPr>
      <w:r>
        <w:t>Descartar gravedad porque el IMC es normal o alto.</w:t>
      </w:r>
    </w:p>
    <w:p>
      <w:pPr>
        <w:pStyle w:val="ListBullet"/>
      </w:pPr>
      <w:r>
        <w:t>Felicitar una pérdida de peso sin conocer su trayectoria y método.</w:t>
      </w:r>
    </w:p>
    <w:p>
      <w:pPr>
        <w:pStyle w:val="ListBullet"/>
      </w:pPr>
      <w:r>
        <w:t>Preguntar sólo por vómitos y omitir ejercicio, laxantes o insulina.</w:t>
      </w:r>
    </w:p>
    <w:p>
      <w:pPr>
        <w:pStyle w:val="ListBullet"/>
      </w:pPr>
      <w:r>
        <w:t>Interpretar exámenes normales como ausencia de enfermedad.</w:t>
      </w:r>
    </w:p>
    <w:p>
      <w:pPr>
        <w:pStyle w:val="ListBullet"/>
      </w:pPr>
      <w:r>
        <w:t>Realimentar sin evaluar riesgo o postergarla indefinidamente por miedo.</w:t>
      </w:r>
    </w:p>
    <w:p>
      <w:pPr>
        <w:pStyle w:val="ListBullet"/>
      </w:pPr>
      <w:r>
        <w:t>Usar bupropión en anorexia o bulimia.</w:t>
      </w:r>
    </w:p>
    <w:p>
      <w:pPr>
        <w:pStyle w:val="Heading1"/>
      </w:pPr>
      <w:r>
        <w:t>Para recordar</w:t>
      </w:r>
    </w:p>
    <w:p>
      <w:pPr>
        <w:spacing w:after="60" w:line="288" w:lineRule="auto"/>
        <w:ind w:left="432" w:hanging="216"/>
        <w:shd w:fill="EAF6F3"/>
        <w:keepNext/>
        <w:keepLines/>
        <w:pBdr>
          <w:left w:val="single" w:sz="8" w:space="8" w:color="2A8C82"/>
        </w:pBdr>
      </w:pPr>
      <w:r>
        <w:t>1. La trayectoria ponderal y la fisiología importan más que una fotografía del IMC.</w:t>
      </w:r>
    </w:p>
    <w:p>
      <w:pPr>
        <w:spacing w:after="60" w:line="288" w:lineRule="auto"/>
        <w:ind w:left="432" w:hanging="216"/>
        <w:shd w:fill="EAF6F3"/>
        <w:keepNext/>
        <w:keepLines/>
        <w:pBdr>
          <w:left w:val="single" w:sz="8" w:space="8" w:color="2A8C82"/>
        </w:pBdr>
      </w:pPr>
      <w:r>
        <w:t>2. La inestabilidad médica puede estar oculta y exige evaluación directa.</w:t>
      </w:r>
    </w:p>
    <w:p>
      <w:pPr>
        <w:spacing w:after="60" w:line="288" w:lineRule="auto"/>
        <w:ind w:left="432" w:hanging="216"/>
        <w:shd w:fill="EAF6F3"/>
        <w:keepNext/>
        <w:keepLines/>
        <w:pBdr>
          <w:left w:val="single" w:sz="8" w:space="8" w:color="2A8C82"/>
        </w:pBdr>
      </w:pPr>
      <w:r>
        <w:t>3. Pregunte por todas las formas de restricción, atracón y compensación.</w:t>
      </w:r>
    </w:p>
    <w:p>
      <w:pPr>
        <w:spacing w:after="60" w:line="288" w:lineRule="auto"/>
        <w:ind w:left="432" w:hanging="216"/>
        <w:shd w:fill="EAF6F3"/>
        <w:keepNext/>
        <w:keepLines/>
        <w:pBdr>
          <w:left w:val="single" w:sz="8" w:space="8" w:color="2A8C82"/>
        </w:pBdr>
      </w:pPr>
      <w:r>
        <w:t>4. La rehabilitación nutricional forma parte del tratamiento psiquiátrico.</w:t>
      </w:r>
    </w:p>
    <w:p>
      <w:pPr>
        <w:spacing w:after="60" w:line="288" w:lineRule="auto"/>
        <w:ind w:left="432" w:hanging="216"/>
        <w:shd w:fill="EAF6F3"/>
        <w:keepLines/>
        <w:pBdr>
          <w:left w:val="single" w:sz="8" w:space="8" w:color="2A8C82"/>
        </w:pBdr>
      </w:pPr>
      <w:r>
        <w:t>5. El mejor manejo es interdisciplinario, coherente y libre de estigma corporal.</w:t>
      </w:r>
    </w:p>
    <w:p>
      <w:pPr>
        <w:pStyle w:val="Heading1"/>
      </w:pPr>
      <w:r>
        <w:t>Bibliografía esencial</w:t>
      </w:r>
    </w:p>
    <w:p>
      <w:pPr>
        <w:pStyle w:val="Bibliography"/>
      </w:pPr>
      <w:r>
        <w:t xml:space="preserve">• American Psychiatric Association. </w:t>
      </w:r>
      <w:r>
        <w:rPr>
          <w:i/>
        </w:rPr>
        <w:t>The American Psychiatric Association Practice Guideline for the Treatment of Patients With Eating Disorders</w:t>
      </w:r>
      <w:r>
        <w:t xml:space="preserve">. Fourth edition; 2023. </w:t>
      </w:r>
      <w:hyperlink r:id="rId112">
        <w:r>
          <w:rPr>
            <w:color w:val="246B8E"/>
            <w:u w:val="single"/>
          </w:rPr>
          <w:t>DOI</w:t>
        </w:r>
      </w:hyperlink>
      <w:r>
        <w:t>.</w:t>
      </w:r>
    </w:p>
    <w:p>
      <w:pPr>
        <w:pStyle w:val="Bibliography"/>
      </w:pPr>
      <w:r>
        <w:t xml:space="preserve">• National Institute for Health and Care Excellence. </w:t>
      </w:r>
      <w:r>
        <w:rPr>
          <w:i/>
        </w:rPr>
        <w:t>Eating disorders: recognition and treatment</w:t>
      </w:r>
      <w:r>
        <w:t xml:space="preserve">. NG69; 2017, última actualización clínica 2020, revisada 2024 y con ajustes de enlaces en 2025. </w:t>
      </w:r>
      <w:hyperlink r:id="rId113">
        <w:r>
          <w:rPr>
            <w:color w:val="246B8E"/>
            <w:u w:val="single"/>
          </w:rPr>
          <w:t>Guía</w:t>
        </w:r>
      </w:hyperlink>
      <w:r>
        <w:t>.</w:t>
      </w:r>
    </w:p>
    <w:p>
      <w:pPr>
        <w:pStyle w:val="Bibliography"/>
      </w:pPr>
      <w:r>
        <w:t xml:space="preserve">• Royal College of Psychiatrists. </w:t>
      </w:r>
      <w:r>
        <w:rPr>
          <w:i/>
        </w:rPr>
        <w:t>Medical Emergencies in Eating Disorders: Guidance on Recognition and Management</w:t>
      </w:r>
      <w:r>
        <w:t xml:space="preserve">. CR233; 2022. </w:t>
      </w:r>
      <w:hyperlink r:id="rId114">
        <w:r>
          <w:rPr>
            <w:color w:val="246B8E"/>
            <w:u w:val="single"/>
          </w:rPr>
          <w:t>Guía</w:t>
        </w:r>
      </w:hyperlink>
      <w:r>
        <w:t>.</w:t>
      </w:r>
    </w:p>
    <w:p>
      <w:pPr>
        <w:pStyle w:val="Bibliography"/>
      </w:pPr>
      <w:r>
        <w:t xml:space="preserve">• World Health Organization. </w:t>
      </w:r>
      <w:r>
        <w:rPr>
          <w:i/>
        </w:rPr>
        <w:t>Clinical Descriptions and Diagnostic Requirements for ICD-11 Mental, Behavioural and Neurodevelopmental Disorders</w:t>
      </w:r>
      <w:r>
        <w:t xml:space="preserve">. 2024. </w:t>
      </w:r>
      <w:hyperlink r:id="rId69">
        <w:r>
          <w:rPr>
            <w:color w:val="246B8E"/>
            <w:u w:val="single"/>
          </w:rPr>
          <w:t>Publicación oficial</w:t>
        </w:r>
      </w:hyperlink>
      <w:r>
        <w:t>.</w:t>
      </w:r>
    </w:p>
    <w:p>
      <w:pPr>
        <w:pStyle w:val="Bibliography"/>
      </w:pPr>
      <w:r>
        <w:t xml:space="preserve">• Treasure J, Duarte TA, Schmidt U. Eating disorders. </w:t>
      </w:r>
      <w:r>
        <w:rPr>
          <w:i/>
        </w:rPr>
        <w:t>Lancet</w:t>
      </w:r>
      <w:r>
        <w:t xml:space="preserve">. 2020;395:899–911. </w:t>
      </w:r>
      <w:hyperlink r:id="rId115">
        <w:r>
          <w:rPr>
            <w:color w:val="246B8E"/>
            <w:u w:val="single"/>
          </w:rPr>
          <w:t>DOI</w:t>
        </w:r>
      </w:hyperlink>
      <w:r>
        <w:t>.</w:t>
      </w:r>
    </w:p>
    <w:p>
      <w:r>
        <w:br w:type="page"/>
      </w:r>
    </w:p>
    <w:p>
      <w:pPr>
        <w:spacing w:after="480"/>
      </w:pPr>
      <w:r>
        <w:rPr>
          <w:rFonts w:ascii="Calibri" w:hAnsi="Calibri"/>
          <w:b/>
          <w:color w:val="2A8C82"/>
          <w:sz w:val="20"/>
        </w:rPr>
        <w:t>CAPÍTULO 39 · MATERIAL PARA ESTUDIANTES</w:t>
      </w:r>
    </w:p>
    <w:tbl>
      <w:tblPr>
        <w:tblW w:type="auto" w:w="0"/>
        <w:jc w:val="left"/>
        <w:tblLayout w:type="fixed"/>
        <w:tblLook w:firstColumn="1" w:firstRow="1" w:lastColumn="0" w:lastRow="0" w:noHBand="0" w:noVBand="1" w:val="04A0"/>
      </w:tblPr>
      <w:tblGrid>
        <w:gridCol w:w="9648"/>
      </w:tblGrid>
      <w:tr>
        <w:trPr>
          <w:tblHeader w:val="true"/>
        </w:trPr>
        <w:tc>
          <w:tcPr>
            <w:tcW w:type="dxa" w:w="9072"/>
            <w:shd w:fill="173A5E"/>
            <w:tcMar>
              <w:top w:w="120" w:type="dxa"/>
              <w:start w:w="220" w:type="dxa"/>
              <w:bottom w:w="120" w:type="dxa"/>
              <w:end w:w="220" w:type="dxa"/>
            </w:tcMar>
          </w:tcPr>
          <w:p>
            <w:pPr>
              <w:spacing w:after="0"/>
            </w:pPr>
            <w:r>
              <w:rPr>
                <w:rFonts w:ascii="Calibri" w:hAnsi="Calibri"/>
                <w:b/>
                <w:color w:val="FFFFFF"/>
                <w:sz w:val="19"/>
              </w:rPr>
              <w:t>MÓDULO II · PATOLOGÍAS, GES Y TRATAMIENTOS</w:t>
            </w:r>
          </w:p>
        </w:tc>
      </w:tr>
    </w:tbl>
    <w:p>
      <w:pPr>
        <w:pStyle w:val="Title"/>
        <w:spacing w:before="520" w:after="360"/>
        <w:outlineLvl w:val="0"/>
      </w:pPr>
      <w:bookmarkStart w:id="1039" w:name="chapter_39"/>
      <w:r>
        <w:t>Síntomas somáticos, ansiedad por enfermedad y trastornos neurológicos funcionales</w:t>
      </w:r>
      <w:bookmarkEnd w:id="1039"/>
    </w:p>
    <w:p>
      <w:pPr>
        <w:spacing w:after="80"/>
      </w:pPr>
      <w:r>
        <w:rPr>
          <w:rFonts w:ascii="Calibri" w:hAnsi="Calibri"/>
          <w:b/>
          <w:color w:val="246B8E"/>
          <w:sz w:val="26"/>
        </w:rPr>
        <w:t>Programa de Psiquiatría para internos de Medicina</w:t>
      </w:r>
    </w:p>
    <w:p>
      <w:r>
        <w:rPr>
          <w:rFonts w:ascii="Calibri" w:hAnsi="Calibri"/>
          <w:color w:val="6B7280"/>
          <w:sz w:val="22"/>
        </w:rPr>
        <w:t>Lectura complementaria · Chile · Versión final para revisión humana · 2026</w:t>
      </w:r>
    </w:p>
    <w:p/>
    <w:p/>
    <w:p/>
    <w:p/>
    <w:p/>
    <w:tbl>
      <w:tblPr>
        <w:tblW w:type="auto" w:w="0"/>
        <w:jc w:val="left"/>
        <w:tblLayout w:type="fixed"/>
        <w:tblLook w:firstColumn="1" w:firstRow="1" w:lastColumn="0" w:lastRow="0" w:noHBand="0" w:noVBand="1" w:val="04A0"/>
      </w:tblPr>
      <w:tblGrid>
        <w:gridCol w:w="9648"/>
      </w:tblGrid>
      <w:tr>
        <w:trPr>
          <w:tblHeader w:val="true"/>
        </w:trPr>
        <w:tc>
          <w:tcPr>
            <w:tcW w:type="dxa" w:w="9648"/>
            <w:shd w:fill="F3F5F6"/>
            <w:tcBorders>
              <w:start w:val="single" w:sz="18" w:color="2A8C82"/>
            </w:tcBorders>
            <w:tcMar>
              <w:top w:w="160" w:type="dxa"/>
              <w:start w:w="220" w:type="dxa"/>
              <w:bottom w:w="160" w:type="dxa"/>
              <w:end w:w="220" w:type="dxa"/>
            </w:tcMar>
          </w:tcPr>
          <w:p>
            <w:pPr>
              <w:spacing w:after="0"/>
            </w:pPr>
            <w:r>
              <w:rPr>
                <w:rFonts w:ascii="Calibri" w:hAnsi="Calibri"/>
                <w:i/>
                <w:color w:val="6B7280"/>
                <w:sz w:val="18"/>
              </w:rPr>
              <w:t>Versión docente final para revisión humana. Material propuesto y contextualizado a Chile; no corresponde a un programa oficial de la Pontificia Universidad Católica de Chile ni sustituye protocolos locales, supervisión clínica o evaluación especializada. Fuentes revisadas al 15 de agosto de 2026.</w:t>
            </w:r>
          </w:p>
        </w:tc>
      </w:tr>
    </w:tbl>
    <w:p>
      <w:r>
        <w:br w:type="page"/>
      </w:r>
    </w:p>
    <w:tbl>
      <w:tblPr>
        <w:tblW w:type="auto" w:w="0"/>
        <w:jc w:val="center"/>
        <w:tblLayout w:type="autofit"/>
        <w:tblLook w:firstColumn="1" w:firstRow="1" w:lastColumn="0" w:lastRow="0" w:noHBand="0" w:noVBand="1" w:val="04A0"/>
      </w:tblPr>
      <w:tblGrid>
        <w:gridCol w:w="9648"/>
      </w:tblGrid>
      <w:tr>
        <w:trPr>
          <w:tblHeader w:val="true"/>
        </w:trPr>
        <w:tc>
          <w:tcPr>
            <w:tcW w:type="dxa" w:w="9648"/>
            <w:vAlign w:val="center"/>
            <w:shd w:fill="EAF3F7"/>
            <w:tcBorders>
              <w:start w:val="single" w:sz="14" w:color="2A8C82"/>
            </w:tcBorders>
            <w:tcMar>
              <w:top w:w="130" w:type="dxa"/>
              <w:start w:w="190" w:type="dxa"/>
              <w:bottom w:w="130" w:type="dxa"/>
              <w:end w:w="190" w:type="dxa"/>
            </w:tcMar>
          </w:tcPr>
          <w:p>
            <w:pPr>
              <w:spacing w:after="0"/>
            </w:pPr>
            <w:r>
              <w:rPr>
                <w:b/>
                <w:color w:val="173A5E"/>
              </w:rPr>
              <w:t xml:space="preserve">PREGUNTA CLÍNICA  </w:t>
            </w:r>
            <w:r>
              <w:t>¿Cómo reconocer sufrimiento corporal genuino sin investigar para siempre ni atribuir prematuramente el síntoma a “lo psicológico”?</w:t>
            </w:r>
          </w:p>
        </w:tc>
      </w:tr>
    </w:tbl>
    <w:p>
      <w:pPr>
        <w:spacing w:after="0"/>
      </w:pPr>
    </w:p>
    <w:tbl>
      <w:tblPr>
        <w:tblW w:type="auto" w:w="0"/>
        <w:jc w:val="center"/>
        <w:tblLayout w:type="autofit"/>
        <w:tblLook w:firstColumn="1" w:firstRow="1" w:lastColumn="0" w:lastRow="0" w:noHBand="0" w:noVBand="1" w:val="04A0"/>
      </w:tblPr>
      <w:tblGrid>
        <w:gridCol w:w="9648"/>
      </w:tblGrid>
      <w:tr>
        <w:trPr>
          <w:tblHeader w:val="true"/>
        </w:trPr>
        <w:tc>
          <w:tcPr>
            <w:tcW w:type="dxa" w:w="9648"/>
            <w:vAlign w:val="center"/>
            <w:shd w:fill="EAF6F3"/>
            <w:tcBorders>
              <w:start w:val="single" w:sz="14" w:color="2A8C82"/>
            </w:tcBorders>
            <w:tcMar>
              <w:top w:w="130" w:type="dxa"/>
              <w:start w:w="190" w:type="dxa"/>
              <w:bottom w:w="130" w:type="dxa"/>
              <w:end w:w="190" w:type="dxa"/>
            </w:tcMar>
          </w:tcPr>
          <w:p>
            <w:pPr>
              <w:spacing w:after="0"/>
            </w:pPr>
            <w:r>
              <w:rPr>
                <w:b/>
                <w:color w:val="173A5E"/>
              </w:rPr>
              <w:t xml:space="preserve">IDEA CENTRAL  </w:t>
            </w:r>
            <w:r>
              <w:t>el trastorno de síntomas somáticos se diagnostica por una respuesta persistente y desproporcionada al síntoma, no porque los exámenes sean normales. Una condición médica y una funcional pueden coexistir.</w:t>
            </w:r>
          </w:p>
        </w:tc>
      </w:tr>
    </w:tbl>
    <w:p>
      <w:pPr>
        <w:spacing w:after="0"/>
      </w:pPr>
    </w:p>
    <w:p>
      <w:pPr>
        <w:pStyle w:val="Heading1"/>
      </w:pPr>
      <w:r>
        <w:t>Por qué importa</w:t>
      </w:r>
    </w:p>
    <w:p>
      <w:r>
        <w:t>Los síntomas físicos persistentes generan discapacidad, uso repetido de servicios y frustración compartida. Dos errores simétricos causan daño: repetir estudios indefinidamente, con incidentalomas y procedimientos innecesarios, o cerrar el diagnóstico demasiado pronto y omitir enfermedad tratable. Decir “no tiene nada” invalida una experiencia real y dificulta el tratamiento.</w:t>
      </w:r>
    </w:p>
    <w:p>
      <w:r>
        <w:t>El objetivo es construir un diagnóstico positivo cuando sea posible, revisar señales de alarma proporcionalmente, explicar un mecanismo comprensible y organizar continuidad. Psiquiatría, neurología y medicina general no son destinos excluyentes.</w:t>
      </w:r>
    </w:p>
    <w:p>
      <w:pPr>
        <w:pStyle w:val="Heading1"/>
      </w:pPr>
      <w:r>
        <w:t>Objetivos de aprendizaje</w:t>
      </w:r>
    </w:p>
    <w:p>
      <w:pPr>
        <w:keepNext/>
      </w:pPr>
      <w:r>
        <w:t>Al finalizar esta lectura, el estudiante podrá:</w:t>
      </w:r>
    </w:p>
    <w:p>
      <w:pPr>
        <w:spacing w:after="60" w:line="288" w:lineRule="auto"/>
        <w:ind w:left="432" w:hanging="216"/>
      </w:pPr>
      <w:r>
        <w:t>1. Diferenciar síntomas somáticos, ansiedad por enfermedad, trastorno neurológico funcional, facticio y simulación.</w:t>
      </w:r>
    </w:p>
    <w:p>
      <w:pPr>
        <w:spacing w:after="60" w:line="288" w:lineRule="auto"/>
        <w:ind w:left="432" w:hanging="216"/>
      </w:pPr>
      <w:r>
        <w:t>2. Reconocer el valor de signos positivos en síntomas neurológicos funcionales.</w:t>
      </w:r>
    </w:p>
    <w:p>
      <w:pPr>
        <w:spacing w:after="60" w:line="288" w:lineRule="auto"/>
        <w:ind w:left="432" w:hanging="216"/>
      </w:pPr>
      <w:r>
        <w:t>3. Diseñar un descarte médico proporcional con criterios de reevaluación.</w:t>
      </w:r>
    </w:p>
    <w:p>
      <w:pPr>
        <w:spacing w:after="60" w:line="288" w:lineRule="auto"/>
        <w:ind w:left="432" w:hanging="216"/>
      </w:pPr>
      <w:r>
        <w:t>4. Explicar un diagnóstico funcional de manera validante.</w:t>
      </w:r>
    </w:p>
    <w:p>
      <w:pPr>
        <w:spacing w:after="60" w:line="288" w:lineRule="auto"/>
        <w:ind w:left="432" w:hanging="216"/>
      </w:pPr>
      <w:r>
        <w:t>5. Organizar seguimiento que reduzca iatrogenia sin abandonar.</w:t>
      </w:r>
    </w:p>
    <w:p>
      <w:pPr>
        <w:spacing w:after="60" w:line="288" w:lineRule="auto"/>
        <w:ind w:left="432" w:hanging="216"/>
      </w:pPr>
      <w:r>
        <w:t>6. Tratar comorbilidades y orientar la recuperación funcional.</w:t>
      </w:r>
    </w:p>
    <w:p>
      <w:pPr>
        <w:pStyle w:val="Heading1"/>
      </w:pPr>
      <w:r>
        <w:t>Caso clínico</w:t>
      </w:r>
    </w:p>
    <w:p>
      <w:pPr>
        <w:shd w:fill="EAF3F7"/>
        <w:keepNext/>
        <w:keepLines/>
        <w:pBdr>
          <w:left w:val="single" w:sz="8" w:space="8" w:color="246B8E"/>
        </w:pBdr>
        <w:ind w:left="173" w:right="86"/>
      </w:pPr>
      <w:r>
        <w:t>Mauricio, de 45 años, consulta reiteradamente por dolor torácico, debilidad de una pierna y temor a tener esclerosis múltiple. Ha realizado numerosos exámenes sin una explicación suficiente; en una atención anterior le dijeron “usted no tiene nada”. El examen muestra variabilidad y signos funcionales positivos. También presenta apnea del sueño no tratada y síntomas depresivos.</w:t>
      </w:r>
    </w:p>
    <w:p>
      <w:pPr>
        <w:shd w:fill="EAF3F7"/>
        <w:keepLines/>
        <w:pBdr>
          <w:left w:val="single" w:sz="8" w:space="8" w:color="246B8E"/>
        </w:pBdr>
        <w:ind w:left="173" w:right="86"/>
      </w:pPr>
      <w:r>
        <w:t>Un diagnóstico funcional no elimina la apnea ni impide que aparezca una enfermedad nueva. El plan debe integrar ambos hallazgos y definir cuándo reevaluar el dolor torácico, sin reiniciar toda la cascada en cada visita.</w:t>
      </w:r>
    </w:p>
    <w:p>
      <w:pPr>
        <w:pStyle w:val="Heading1"/>
      </w:pPr>
      <w:r>
        <w:t>Conceptos que no deben confundirse</w:t>
      </w:r>
    </w:p>
    <w:p>
      <w:r>
        <w:t xml:space="preserve">En el </w:t>
      </w:r>
      <w:r>
        <w:rPr>
          <w:b/>
        </w:rPr>
        <w:t>trastorno de síntomas somáticos</w:t>
      </w:r>
      <w:r>
        <w:t xml:space="preserve"> existen uno o más síntomas junto con pensamientos, emociones o conductas excesivas y persistentes relacionadas. El síntoma puede estar explicado total, parcialmente o en absoluto por otra enfermedad; lo definitorio no es un examen normal. En la </w:t>
      </w:r>
      <w:r>
        <w:rPr>
          <w:b/>
        </w:rPr>
        <w:t>ansiedad por enfermedad</w:t>
      </w:r>
      <w:r>
        <w:t xml:space="preserve"> predomina la preocupación por padecer una patología grave, con síntomas ausentes o leves.</w:t>
      </w:r>
    </w:p>
    <w:p>
      <w:r>
        <w:t xml:space="preserve">El </w:t>
      </w:r>
      <w:r>
        <w:rPr>
          <w:b/>
        </w:rPr>
        <w:t>trastorno neurológico funcional</w:t>
      </w:r>
      <w:r>
        <w:t xml:space="preserve"> (TNF) presenta alteraciones motoras, sensoriales o episodios paroxísticos. El diagnóstico requiere evidencia clínica de incompatibilidad entre el síntoma y afecciones neurológicas o médicas reconocidas; no basta que una resonancia o un laboratorio sean normales. “Funcional” describe una alteración del funcionamiento, no significa imaginario o voluntario.</w:t>
      </w:r>
    </w:p>
    <w:p>
      <w:r>
        <w:t xml:space="preserve">En el </w:t>
      </w:r>
      <w:r>
        <w:rPr>
          <w:b/>
        </w:rPr>
        <w:t>trastorno facticio</w:t>
      </w:r>
      <w:r>
        <w:t xml:space="preserve"> hay producción o falsificación intencional para asumir el rol de enfermo, sin que predomine un incentivo externo evidente. En la </w:t>
      </w:r>
      <w:r>
        <w:rPr>
          <w:b/>
        </w:rPr>
        <w:t>simulación</w:t>
      </w:r>
      <w:r>
        <w:t xml:space="preserve"> también hay intención, pero asociada a un incentivo externo; no es un diagnóstico psiquiátrico. La variabilidad, una historia compleja o un síntoma extraño no prueban intención. Afirmarla exige evidencia y especial prudencia, sobre todo en contextos médico-legales.</w:t>
      </w:r>
    </w:p>
    <w:p>
      <w:pPr>
        <w:pStyle w:val="Heading1"/>
      </w:pPr>
      <w:r>
        <w:t>Evaluación clínica proporcional</w:t>
      </w:r>
    </w:p>
    <w:p>
      <w:r>
        <w:t>Se comienza escuchando la historia del síntoma, su impacto, significado y temor principal. Se reconstruyen cronología, cambios objetivos, tratamientos y estudios previos; revisar los informes evita repetirlos. Se realiza examen físico dirigido y se buscan banderas rojas según sistema, edad y factores de riesgo. “Ya fue estudiado” no exime de valorar un cambio nuevo.</w:t>
      </w:r>
    </w:p>
    <w:p>
      <w:r>
        <w:t>La entrevista también explora depresión, ansiedad, pánico, trauma, sueño, dolor, sustancias, condiciones ocupacionales y medicamentos. Opioides, sedantes, reposo prolongado o procedimientos pueden perpetuar discapacidad. Preguntar “¿qué explicación recibió?” y “¿qué espera de esta consulta?” revela modelos incompatibles que necesitan ser reconciliados.</w:t>
      </w:r>
    </w:p>
    <w:p>
      <w:r>
        <w:t>La investigación debe responder una hipótesis y tener un plan de cierre. Antes de solicitar un examen conviene definir qué resultado modificaría la conducta. Si aparecen señales nuevas —por ejemplo, déficit fijo progresivo, pérdida de peso inexplicada, fiebre o un patrón distinto de dolor— se reabre el diferencial. Tener TNF no inmuniza frente a otra enfermedad.</w:t>
      </w:r>
    </w:p>
    <w:p>
      <w:pPr>
        <w:pStyle w:val="Heading1"/>
      </w:pPr>
      <w:r>
        <w:t>Diagnóstico positivo del trastorno neurológico funcional</w:t>
      </w:r>
    </w:p>
    <w:p>
      <w:r>
        <w:t>El TNF ya no se concibe como diagnóstico de exclusión pura. En debilidad pueden observarse cambios entre tareas voluntarias y automáticas o con distracción, mediante signos neurológicos validados. Un temblor funcional puede variar marcadamente o acoplarse al ritmo de otro movimiento. Los episodios disociativos funcionales se estudian por semiología y, cuando corresponde, video-EEG; un EEG interictal normal por sí solo no confirma el diagnóstico.</w:t>
      </w:r>
    </w:p>
    <w:p>
      <w:r>
        <w:t>Los signos deben ser pertinentes al fenómeno, estar validados e interpretarse por clínicos entrenados dentro del conjunto. Variabilidad inespecífica, distracción o una conducta llamativa no constituyen por sí solas un signo positivo. Estos signos no se usan como una trampa para “pillar” al paciente: pueden mostrar que el acceso al movimiento cambia con la atención o la tarea, lo cual apoya potencial de reversibilidad sin sugerir fingimiento.</w:t>
      </w:r>
    </w:p>
    <w:p>
      <w:r>
        <w:t>En episodios semejantes a convulsiones, la guía AAN publicada en 2025 recomienda obtener historia y semiología tanto de la persona como de testigos, revisar videos de teléfono cuando existan y registrar mediante video-EEG todos los tipos habituales cuando sea factible. Un video o un signo aislado tampoco reemplaza la interpretación experta. Epilepsia y crisis funcionales pueden coexistir, por lo que cada tipo de episodio debe caracterizarse.</w:t>
      </w:r>
    </w:p>
    <w:p>
      <w:r>
        <w:t>Neurología evalúa el fenómeno y sus diagnósticos diferenciales; psiquiatría ayuda con comorbilidad, formulación y tratamientos; rehabilitación traduce el mecanismo a recuperación. Derivar a la persona de un servicio a otro como si nadie fuera responsable aumenta daño.</w:t>
      </w:r>
    </w:p>
    <w:p>
      <w:pPr>
        <w:pStyle w:val="Heading1"/>
      </w:pPr>
      <w:r>
        <w:t>Explicar el diagnóstico</w:t>
      </w:r>
    </w:p>
    <w:p>
      <w:r>
        <w:t>Una explicación eficaz tiene varios pasos. Primero se nombra lo encontrado: “la debilidad tiene características de un trastorno neurológico funcional”. Después, con permiso, se muestra el signo positivo y se explica que indica un problema de control o predicción del movimiento, no daño estructural ni voluntad. Se afirma explícitamente que el síntoma es real, frecuente y potencialmente tratable.</w:t>
      </w:r>
    </w:p>
    <w:p>
      <w:r>
        <w:t>Puede utilizarse una analogía de funcionamiento, pero sin reducir el cerebro a un computador ni prometer recuperación automática. El estrés puede modular síntomas en algunas personas, pero no es requisito diagnóstico y no debe imponerse como causa si la historia no lo apoya. Se comprueba comprensión: “¿cómo explicarías esto a tu familia?”. La aceptación puede ser gradual; entregar recursos escritos y mantener una puerta abierta facilita el proceso.</w:t>
      </w:r>
    </w:p>
    <w:p>
      <w:r>
        <w:t>Frases como “todo está en su cabeza”, “los exámenes están bien” o “vaya a psiquiatría” comunican abandono. Una explicación positiva es una intervención terapéutica, no un trámite previo al tratamiento.</w:t>
      </w:r>
    </w:p>
    <w:p>
      <w:pPr>
        <w:pStyle w:val="Heading1"/>
      </w:pPr>
      <w:r>
        <w:t>Tratamiento y recuperación funcional</w:t>
      </w:r>
    </w:p>
    <w:p>
      <w:r>
        <w:t>Conviene designar un clínico coordinador y acordar un plan entre equipos. Los controles programados sustituyen el patrón de consulta exclusiva en crisis. En cada visita se revisan síntomas y señales nuevas sin repetir estudios por inercia. Los objetivos se expresan en actividad, movilidad, sueño, participación social, estudio o trabajo, además de intensidad sintomática.</w:t>
      </w:r>
    </w:p>
    <w:p>
      <w:r>
        <w:t>La fisioterapia informada en TNF se centra en reentrenar movimiento automático, atención y confianza; no en fortalecer un músculo supuestamente dañado. Terapia ocupacional y fonoaudiología se incorporan según el fenómeno. La psicoterapia, incluida TCC, puede trabajar atención al síntoma, evitación, creencias, trauma o regulación, pero no es obligatoria como prueba de que el trastorno sea “psicológico”.</w:t>
      </w:r>
    </w:p>
    <w:p>
      <w:r>
        <w:t>Se tratan depresión, pánico, insomnio, apnea, migraña y dolor con sus indicaciones propias. Los fármacos no tratan directamente el mecanismo motor funcional, pero pueden reducir comorbilidades que obstaculizan rehabilitación. Una licencia médica, cuando corresponda, se fundamenta en incapacidad laboral temporal, riesgos del puesto y un plan con reevaluación; ni el diagnóstico ni la duración del síntoma determinan por sí solos el reposo.</w:t>
      </w:r>
    </w:p>
    <w:p>
      <w:r>
        <w:t>Los medicamentos anticrisis y las benzodiazepinas no deben prescribirse para crisis funcionales si no existe epilepsia concomitante u otra indicación válida. Cuando se comprueba que fueron indicados sólo por el diagnóstico errado, se planifica una retirada supervisada con neurología; suspenderlos sin revisar epilepsia, dosis y dependencia también puede causar daño.</w:t>
      </w:r>
    </w:p>
    <w:p>
      <w:pPr>
        <w:pStyle w:val="Heading1"/>
      </w:pPr>
      <w:r>
        <w:t>Iatrogenia, facticio y simulación</w:t>
      </w:r>
    </w:p>
    <w:p>
      <w:r>
        <w:t>La sobreinvestigación aumenta radiación, complicaciones, falsos positivos y cascadas de procedimientos. La infrainvestigación omite diagnósticos. El equilibrio mejora si se documenta qué se estudió, qué hipótesis se descartó, qué hallazgos justificarán reevaluación y quién coordina.</w:t>
      </w:r>
    </w:p>
    <w:p>
      <w:r>
        <w:t>Ante sospecha de facticio o simulación, se registran hechos verificables y discrepancias, no juicios sobre carácter ni motivos que no puedan demostrarse. Se centralizan antecedentes, se previenen intervenciones peligrosas y se discute en equipo. Una confrontación acusatoria rara vez resuelve la incertidumbre. Si existe una pregunta legal, previsional o laboral, se separan en lo posible los roles tratante y pericial y se explicitan los límites de la opinión.</w:t>
      </w:r>
    </w:p>
    <w:p>
      <w:r>
        <w:t>En Mauricio, una comunicación adecuada conecta el signo funcional con rehabilitación, trata apnea y depresión y fija criterios explícitos para reevaluar el dolor. Esto evita tanto abandono como examen infinito.</w:t>
      </w:r>
    </w:p>
    <w:p>
      <w:pPr>
        <w:pStyle w:val="Heading1"/>
      </w:pPr>
      <w:r>
        <w:t>Errores frecuentes</w:t>
      </w:r>
    </w:p>
    <w:p>
      <w:pPr>
        <w:pStyle w:val="ListBullet"/>
      </w:pPr>
      <w:r>
        <w:t>Diagnosticar un trastorno funcional sólo porque los exámenes fueron normales.</w:t>
      </w:r>
    </w:p>
    <w:p>
      <w:pPr>
        <w:pStyle w:val="ListBullet"/>
      </w:pPr>
      <w:r>
        <w:t>Suponer que “funcional” significa voluntario, imaginario o exclusivamente psicológico.</w:t>
      </w:r>
    </w:p>
    <w:p>
      <w:pPr>
        <w:pStyle w:val="ListBullet"/>
      </w:pPr>
      <w:r>
        <w:t>Atribuir todos los casos a trauma sin evidencia.</w:t>
      </w:r>
    </w:p>
    <w:p>
      <w:pPr>
        <w:pStyle w:val="ListBullet"/>
      </w:pPr>
      <w:r>
        <w:t>Repetir exámenes para calmar ansiedad sin un plan de cierre.</w:t>
      </w:r>
    </w:p>
    <w:p>
      <w:pPr>
        <w:pStyle w:val="ListBullet"/>
      </w:pPr>
      <w:r>
        <w:t>Suspender para siempre la evaluación médica futura.</w:t>
      </w:r>
    </w:p>
    <w:p>
      <w:pPr>
        <w:pStyle w:val="ListBullet"/>
      </w:pPr>
      <w:r>
        <w:t>Confundir facticio con simulación o inferir intención desde la variabilidad.</w:t>
      </w:r>
    </w:p>
    <w:p>
      <w:pPr>
        <w:pStyle w:val="Heading1"/>
      </w:pPr>
      <w:r>
        <w:t>Para recordar</w:t>
      </w:r>
    </w:p>
    <w:p>
      <w:pPr>
        <w:spacing w:after="60" w:line="288" w:lineRule="auto"/>
        <w:ind w:left="432" w:hanging="216"/>
        <w:shd w:fill="EAF6F3"/>
        <w:keepNext/>
        <w:keepLines/>
        <w:pBdr>
          <w:left w:val="single" w:sz="8" w:space="8" w:color="2A8C82"/>
        </w:pBdr>
      </w:pPr>
      <w:r>
        <w:t>1. El síntoma es real aunque el mecanismo sea funcional.</w:t>
      </w:r>
    </w:p>
    <w:p>
      <w:pPr>
        <w:spacing w:after="60" w:line="288" w:lineRule="auto"/>
        <w:ind w:left="432" w:hanging="216"/>
        <w:shd w:fill="EAF6F3"/>
        <w:keepNext/>
        <w:keepLines/>
        <w:pBdr>
          <w:left w:val="single" w:sz="8" w:space="8" w:color="2A8C82"/>
        </w:pBdr>
      </w:pPr>
      <w:r>
        <w:t>2. En TNF, busque signos positivos y un patrón clínico congruente.</w:t>
      </w:r>
    </w:p>
    <w:p>
      <w:pPr>
        <w:spacing w:after="60" w:line="288" w:lineRule="auto"/>
        <w:ind w:left="432" w:hanging="216"/>
        <w:shd w:fill="EAF6F3"/>
        <w:keepNext/>
        <w:keepLines/>
        <w:pBdr>
          <w:left w:val="single" w:sz="8" w:space="8" w:color="2A8C82"/>
        </w:pBdr>
      </w:pPr>
      <w:r>
        <w:t>3. Investigue lo suficiente: ni infinitamente ni demasiado poco.</w:t>
      </w:r>
    </w:p>
    <w:p>
      <w:pPr>
        <w:spacing w:after="60" w:line="288" w:lineRule="auto"/>
        <w:ind w:left="432" w:hanging="216"/>
        <w:shd w:fill="EAF6F3"/>
        <w:keepNext/>
        <w:keepLines/>
        <w:pBdr>
          <w:left w:val="single" w:sz="8" w:space="8" w:color="2A8C82"/>
        </w:pBdr>
      </w:pPr>
      <w:r>
        <w:t>4. La explicación diagnóstica forma parte del tratamiento.</w:t>
      </w:r>
    </w:p>
    <w:p>
      <w:pPr>
        <w:spacing w:after="60" w:line="288" w:lineRule="auto"/>
        <w:ind w:left="432" w:hanging="216"/>
        <w:shd w:fill="EAF6F3"/>
        <w:keepLines/>
        <w:pBdr>
          <w:left w:val="single" w:sz="8" w:space="8" w:color="2A8C82"/>
        </w:pBdr>
      </w:pPr>
      <w:r>
        <w:t>5. Recuperar función suele ser un objetivo más útil que perseguir certeza absoluta.</w:t>
      </w:r>
    </w:p>
    <w:p>
      <w:pPr>
        <w:pStyle w:val="Heading1"/>
      </w:pPr>
      <w:r>
        <w:t>Bibliografía esencial</w:t>
      </w:r>
    </w:p>
    <w:p>
      <w:pPr>
        <w:pStyle w:val="Bibliography"/>
      </w:pPr>
      <w:r>
        <w:t xml:space="preserve">1. World Health Organization. </w:t>
      </w:r>
      <w:r>
        <w:rPr>
          <w:i/>
        </w:rPr>
        <w:t>Clinical Descriptions and Diagnostic Requirements for ICD-11 Mental, Behavioural and Neurodevelopmental Disorders</w:t>
      </w:r>
      <w:r>
        <w:t xml:space="preserve">. WHO; 2024. </w:t>
      </w:r>
      <w:hyperlink r:id="rId116">
        <w:r>
          <w:rPr>
            <w:color w:val="246B8E"/>
            <w:u w:val="single"/>
          </w:rPr>
          <w:t>Documento</w:t>
        </w:r>
      </w:hyperlink>
      <w:r>
        <w:t>.</w:t>
      </w:r>
    </w:p>
    <w:p>
      <w:pPr>
        <w:pStyle w:val="Bibliography"/>
      </w:pPr>
      <w:r>
        <w:t xml:space="preserve">2. American Psychiatric Association. </w:t>
      </w:r>
      <w:r>
        <w:rPr>
          <w:i/>
        </w:rPr>
        <w:t>Diagnostic and Statistical Manual of Mental Disorders: DSM-5-TR</w:t>
      </w:r>
      <w:r>
        <w:t>. American Psychiatric Association Publishing; 2022.</w:t>
      </w:r>
    </w:p>
    <w:p>
      <w:pPr>
        <w:pStyle w:val="Bibliography"/>
      </w:pPr>
      <w:r>
        <w:t xml:space="preserve">3. Aybek S, Perez DL. Diagnosis and management of functional neurological disorder. </w:t>
      </w:r>
      <w:r>
        <w:rPr>
          <w:i/>
        </w:rPr>
        <w:t>BMJ</w:t>
      </w:r>
      <w:r>
        <w:t xml:space="preserve">. 2022;376:o64. </w:t>
      </w:r>
      <w:hyperlink r:id="rId117">
        <w:r>
          <w:rPr>
            <w:color w:val="246B8E"/>
            <w:u w:val="single"/>
          </w:rPr>
          <w:t>Artículo</w:t>
        </w:r>
      </w:hyperlink>
      <w:r>
        <w:t>.</w:t>
      </w:r>
    </w:p>
    <w:p>
      <w:pPr>
        <w:pStyle w:val="Bibliography"/>
      </w:pPr>
      <w:r>
        <w:t xml:space="preserve">4. Hallett M, Aybek S, Dworetzky BA, McWhirter L, Staab JP, Stone J. Functional neurological disorder: new subtypes and shared mechanisms. </w:t>
      </w:r>
      <w:r>
        <w:rPr>
          <w:i/>
        </w:rPr>
        <w:t>Lancet Neurology</w:t>
      </w:r>
      <w:r>
        <w:t>. 2022;21:537-550.</w:t>
      </w:r>
    </w:p>
    <w:p>
      <w:pPr>
        <w:pStyle w:val="Bibliography"/>
      </w:pPr>
      <w:r>
        <w:t xml:space="preserve">5. Stone J, Carson A, Hallett M. Explanation as treatment for functional neurologic disorders. </w:t>
      </w:r>
      <w:r>
        <w:rPr>
          <w:i/>
        </w:rPr>
        <w:t>Handbook of Clinical Neurology</w:t>
      </w:r>
      <w:r>
        <w:t>. 2016;139:543-553.</w:t>
      </w:r>
    </w:p>
    <w:p>
      <w:pPr>
        <w:pStyle w:val="Bibliography"/>
      </w:pPr>
      <w:r>
        <w:t xml:space="preserve">6. Tolchin B, Goldstein LH, Reuber M, et al. Management of Functional Seizures Practice Guideline Executive Summary: Report of the AAN Guidelines Subcommittee. </w:t>
      </w:r>
      <w:r>
        <w:rPr>
          <w:i/>
        </w:rPr>
        <w:t>Neurology</w:t>
      </w:r>
      <w:r>
        <w:t xml:space="preserve">. Publicada en línea en 2025. </w:t>
      </w:r>
      <w:hyperlink r:id="rId118">
        <w:r>
          <w:rPr>
            <w:color w:val="246B8E"/>
            <w:u w:val="single"/>
          </w:rPr>
          <w:t>Guía AAN</w:t>
        </w:r>
      </w:hyperlink>
      <w:r>
        <w:t>.</w:t>
      </w:r>
    </w:p>
    <w:p>
      <w:r>
        <w:br w:type="page"/>
      </w:r>
    </w:p>
    <w:p>
      <w:pPr>
        <w:spacing w:after="480"/>
      </w:pPr>
      <w:r>
        <w:rPr>
          <w:rFonts w:ascii="Calibri" w:hAnsi="Calibri"/>
          <w:b/>
          <w:color w:val="2A8C82"/>
          <w:sz w:val="20"/>
        </w:rPr>
        <w:t>CAPÍTULO 40 · MATERIAL PARA ESTUDIANTES</w:t>
      </w:r>
    </w:p>
    <w:tbl>
      <w:tblPr>
        <w:tblW w:type="auto" w:w="0"/>
        <w:jc w:val="left"/>
        <w:tblLayout w:type="fixed"/>
        <w:tblLook w:firstColumn="1" w:firstRow="1" w:lastColumn="0" w:lastRow="0" w:noHBand="0" w:noVBand="1" w:val="04A0"/>
      </w:tblPr>
      <w:tblGrid>
        <w:gridCol w:w="9648"/>
      </w:tblGrid>
      <w:tr>
        <w:trPr>
          <w:tblHeader w:val="true"/>
        </w:trPr>
        <w:tc>
          <w:tcPr>
            <w:tcW w:type="dxa" w:w="9072"/>
            <w:shd w:fill="173A5E"/>
            <w:tcMar>
              <w:top w:w="120" w:type="dxa"/>
              <w:start w:w="220" w:type="dxa"/>
              <w:bottom w:w="120" w:type="dxa"/>
              <w:end w:w="220" w:type="dxa"/>
            </w:tcMar>
          </w:tcPr>
          <w:p>
            <w:pPr>
              <w:spacing w:after="0"/>
            </w:pPr>
            <w:r>
              <w:rPr>
                <w:rFonts w:ascii="Calibri" w:hAnsi="Calibri"/>
                <w:b/>
                <w:color w:val="FFFFFF"/>
                <w:sz w:val="19"/>
              </w:rPr>
              <w:t>MÓDULO II · PATOLOGÍAS, GES Y TRATAMIENTOS</w:t>
            </w:r>
          </w:p>
        </w:tc>
      </w:tr>
    </w:tbl>
    <w:p>
      <w:pPr>
        <w:pStyle w:val="Title"/>
        <w:spacing w:before="520" w:after="360"/>
        <w:outlineLvl w:val="0"/>
      </w:pPr>
      <w:bookmarkStart w:id="1040" w:name="chapter_40"/>
      <w:r>
        <w:t>Sueño y psiquiatría: insomnio y otros trastornos frecuentes</w:t>
      </w:r>
      <w:bookmarkEnd w:id="1040"/>
    </w:p>
    <w:p>
      <w:pPr>
        <w:spacing w:after="80"/>
      </w:pPr>
      <w:r>
        <w:rPr>
          <w:rFonts w:ascii="Calibri" w:hAnsi="Calibri"/>
          <w:b/>
          <w:color w:val="246B8E"/>
          <w:sz w:val="26"/>
        </w:rPr>
        <w:t>Programa de Psiquiatría para internos de Medicina</w:t>
      </w:r>
    </w:p>
    <w:p>
      <w:r>
        <w:rPr>
          <w:rFonts w:ascii="Calibri" w:hAnsi="Calibri"/>
          <w:color w:val="6B7280"/>
          <w:sz w:val="22"/>
        </w:rPr>
        <w:t>Lectura complementaria · Chile · Versión final para revisión humana · 2026</w:t>
      </w:r>
    </w:p>
    <w:p/>
    <w:p/>
    <w:p/>
    <w:p/>
    <w:p/>
    <w:tbl>
      <w:tblPr>
        <w:tblW w:type="auto" w:w="0"/>
        <w:jc w:val="left"/>
        <w:tblLayout w:type="fixed"/>
        <w:tblLook w:firstColumn="1" w:firstRow="1" w:lastColumn="0" w:lastRow="0" w:noHBand="0" w:noVBand="1" w:val="04A0"/>
      </w:tblPr>
      <w:tblGrid>
        <w:gridCol w:w="9648"/>
      </w:tblGrid>
      <w:tr>
        <w:trPr>
          <w:tblHeader w:val="true"/>
        </w:trPr>
        <w:tc>
          <w:tcPr>
            <w:tcW w:type="dxa" w:w="9648"/>
            <w:shd w:fill="F3F5F6"/>
            <w:tcBorders>
              <w:start w:val="single" w:sz="18" w:color="2A8C82"/>
            </w:tcBorders>
            <w:tcMar>
              <w:top w:w="160" w:type="dxa"/>
              <w:start w:w="220" w:type="dxa"/>
              <w:bottom w:w="160" w:type="dxa"/>
              <w:end w:w="220" w:type="dxa"/>
            </w:tcMar>
          </w:tcPr>
          <w:p>
            <w:pPr>
              <w:spacing w:after="0"/>
            </w:pPr>
            <w:r>
              <w:rPr>
                <w:rFonts w:ascii="Calibri" w:hAnsi="Calibri"/>
                <w:i/>
                <w:color w:val="6B7280"/>
                <w:sz w:val="18"/>
              </w:rPr>
              <w:t>Versión docente final para revisión humana. Material propuesto y contextualizado a Chile; no corresponde a un programa oficial de la Pontificia Universidad Católica de Chile ni sustituye protocolos locales, supervisión clínica o evaluación especializada. Fuentes revisadas al 15 de agosto de 2026.</w:t>
            </w:r>
          </w:p>
        </w:tc>
      </w:tr>
    </w:tbl>
    <w:p>
      <w:r>
        <w:br w:type="page"/>
      </w:r>
    </w:p>
    <w:tbl>
      <w:tblPr>
        <w:tblW w:type="auto" w:w="0"/>
        <w:jc w:val="center"/>
        <w:tblLayout w:type="autofit"/>
        <w:tblLook w:firstColumn="1" w:firstRow="1" w:lastColumn="0" w:lastRow="0" w:noHBand="0" w:noVBand="1" w:val="04A0"/>
      </w:tblPr>
      <w:tblGrid>
        <w:gridCol w:w="9648"/>
      </w:tblGrid>
      <w:tr>
        <w:trPr>
          <w:tblHeader w:val="true"/>
        </w:trPr>
        <w:tc>
          <w:tcPr>
            <w:tcW w:type="dxa" w:w="9648"/>
            <w:vAlign w:val="center"/>
            <w:shd w:fill="EAF3F7"/>
            <w:tcBorders>
              <w:start w:val="single" w:sz="14" w:color="2A8C82"/>
            </w:tcBorders>
            <w:tcMar>
              <w:top w:w="130" w:type="dxa"/>
              <w:start w:w="190" w:type="dxa"/>
              <w:bottom w:w="130" w:type="dxa"/>
              <w:end w:w="190" w:type="dxa"/>
            </w:tcMar>
          </w:tcPr>
          <w:p>
            <w:pPr>
              <w:spacing w:after="0"/>
            </w:pPr>
            <w:r>
              <w:rPr>
                <w:b/>
                <w:color w:val="173A5E"/>
              </w:rPr>
              <w:t xml:space="preserve">PREGUNTA CLÍNICA  </w:t>
            </w:r>
            <w:r>
              <w:t>¿Cómo evaluar el sueño sin convertir toda dificultad para dormir en “insomnio primario” ni toda solución en una receta hipnótica?</w:t>
            </w:r>
          </w:p>
        </w:tc>
      </w:tr>
    </w:tbl>
    <w:p>
      <w:pPr>
        <w:spacing w:after="0"/>
      </w:pPr>
    </w:p>
    <w:tbl>
      <w:tblPr>
        <w:tblW w:type="auto" w:w="0"/>
        <w:jc w:val="center"/>
        <w:tblLayout w:type="autofit"/>
        <w:tblLook w:firstColumn="1" w:firstRow="1" w:lastColumn="0" w:lastRow="0" w:noHBand="0" w:noVBand="1" w:val="04A0"/>
      </w:tblPr>
      <w:tblGrid>
        <w:gridCol w:w="9648"/>
      </w:tblGrid>
      <w:tr>
        <w:trPr>
          <w:tblHeader w:val="true"/>
        </w:trPr>
        <w:tc>
          <w:tcPr>
            <w:tcW w:type="dxa" w:w="9648"/>
            <w:vAlign w:val="center"/>
            <w:shd w:fill="EAF6F3"/>
            <w:tcBorders>
              <w:start w:val="single" w:sz="14" w:color="2A8C82"/>
            </w:tcBorders>
            <w:tcMar>
              <w:top w:w="130" w:type="dxa"/>
              <w:start w:w="190" w:type="dxa"/>
              <w:bottom w:w="130" w:type="dxa"/>
              <w:end w:w="190" w:type="dxa"/>
            </w:tcMar>
          </w:tcPr>
          <w:p>
            <w:pPr>
              <w:spacing w:after="0"/>
            </w:pPr>
            <w:r>
              <w:rPr>
                <w:b/>
                <w:color w:val="173A5E"/>
              </w:rPr>
              <w:t xml:space="preserve">IDEA CENTRAL  </w:t>
            </w:r>
            <w:r>
              <w:t>el sueño se diagnostica a partir del patrón de 24 horas, la oportunidad de dormir, el ritmo, los síntomas nocturnos y la repercusión diurna. En insomnio crónico, el tratamiento de primera línea es la terapia cognitivo-conductual para insomnio.</w:t>
            </w:r>
          </w:p>
        </w:tc>
      </w:tr>
    </w:tbl>
    <w:p>
      <w:pPr>
        <w:spacing w:after="0"/>
      </w:pPr>
    </w:p>
    <w:p>
      <w:pPr>
        <w:pStyle w:val="Heading1"/>
      </w:pPr>
      <w:r>
        <w:t>Por qué importa</w:t>
      </w:r>
    </w:p>
    <w:p>
      <w:r>
        <w:t>El mal dormir puede ser síntoma, factor precipitante y consecuencia de enfermedad psiquiátrica. También puede reflejar privación voluntaria, trabajo por turnos, apnea, un trastorno circadiano, medicamentos o una fase de activación bipolar. Si todos estos problemas se llaman “insomnio”, se termina añadiendo sedantes sin tratar la causa.</w:t>
      </w:r>
    </w:p>
    <w:p>
      <w:r>
        <w:t>El interno debe formular un diagnóstico de sueño, reconocer riesgos inmediatos —como somnolencia al conducir o manía— e iniciar medidas seguras. La polisomnografía no es una prueba universal y la higiene del sueño no equivale a tratamiento completo.</w:t>
      </w:r>
    </w:p>
    <w:p>
      <w:pPr>
        <w:pStyle w:val="Heading1"/>
      </w:pPr>
      <w:r>
        <w:t>Objetivos de aprendizaje</w:t>
      </w:r>
    </w:p>
    <w:p>
      <w:pPr>
        <w:keepNext/>
      </w:pPr>
      <w:r>
        <w:t>Al finalizar esta lectura, el estudiante podrá:</w:t>
      </w:r>
    </w:p>
    <w:p>
      <w:pPr>
        <w:spacing w:after="60" w:line="288" w:lineRule="auto"/>
        <w:ind w:left="432" w:hanging="216"/>
      </w:pPr>
      <w:r>
        <w:t>1. Obtener una historia de sueño de 24 horas y utilizar un diario.</w:t>
      </w:r>
    </w:p>
    <w:p>
      <w:pPr>
        <w:spacing w:after="60" w:line="288" w:lineRule="auto"/>
        <w:ind w:left="432" w:hanging="216"/>
      </w:pPr>
      <w:r>
        <w:t>2. Diferenciar insomnio, privación, trastornos circadianos, apnea y piernas inquietas.</w:t>
      </w:r>
    </w:p>
    <w:p>
      <w:pPr>
        <w:spacing w:after="60" w:line="288" w:lineRule="auto"/>
        <w:ind w:left="432" w:hanging="216"/>
      </w:pPr>
      <w:r>
        <w:t>3. Reconocer hipersomnolencia, narcolepsia y parasomnias relevantes.</w:t>
      </w:r>
    </w:p>
    <w:p>
      <w:pPr>
        <w:spacing w:after="60" w:line="288" w:lineRule="auto"/>
        <w:ind w:left="432" w:hanging="216"/>
      </w:pPr>
      <w:r>
        <w:t>4. Distinguir menor necesidad de dormir de dificultad para dormir.</w:t>
      </w:r>
    </w:p>
    <w:p>
      <w:pPr>
        <w:spacing w:after="60" w:line="288" w:lineRule="auto"/>
        <w:ind w:left="432" w:hanging="216"/>
      </w:pPr>
      <w:r>
        <w:t>5. Explicar los componentes de la TCC para insomnio.</w:t>
      </w:r>
    </w:p>
    <w:p>
      <w:pPr>
        <w:spacing w:after="60" w:line="288" w:lineRule="auto"/>
        <w:ind w:left="432" w:hanging="216"/>
      </w:pPr>
      <w:r>
        <w:t>6. Utilizar hipnóticos de manera selectiva, breve y segura.</w:t>
      </w:r>
    </w:p>
    <w:p>
      <w:pPr>
        <w:pStyle w:val="Heading1"/>
      </w:pPr>
      <w:r>
        <w:t>Caso clínico</w:t>
      </w:r>
    </w:p>
    <w:p>
      <w:pPr>
        <w:shd w:fill="EAF3F7"/>
        <w:keepNext/>
        <w:keepLines/>
        <w:pBdr>
          <w:left w:val="single" w:sz="8" w:space="8" w:color="246B8E"/>
        </w:pBdr>
        <w:ind w:left="173" w:right="86"/>
      </w:pPr>
      <w:r>
        <w:t>Carolina, de 41 años, consulta por “insomnio de diez años”. Se acuesta a las 21:00, permanece nueve horas en cama, duerme siestas y usa el teléfono de madrugada. Toma clonazepam y quetiapina. Ronca, despierta con cefalea y su pareja observa pausas respiratorias. Meses atrás pasó una semana durmiendo tres horas, sin cansancio, con aumento de actividad y gastos impulsivos.</w:t>
      </w:r>
    </w:p>
    <w:p>
      <w:pPr>
        <w:shd w:fill="EAF3F7"/>
        <w:keepLines/>
        <w:pBdr>
          <w:left w:val="single" w:sz="8" w:space="8" w:color="246B8E"/>
        </w:pBdr>
        <w:ind w:left="173" w:right="86"/>
      </w:pPr>
      <w:r>
        <w:t>El caso contiene al menos cuatro problemas: conductas que perpetúan insomnio, posible apnea obstructiva, polifarmacia sedante y un episodio compatible con activación bipolar. Tratar sólo con otro hipnótico podría empeorarlos.</w:t>
      </w:r>
    </w:p>
    <w:p>
      <w:pPr>
        <w:pStyle w:val="Heading1"/>
      </w:pPr>
      <w:r>
        <w:t>Historia de sueño de 24 horas</w:t>
      </w:r>
    </w:p>
    <w:p>
      <w:r>
        <w:t xml:space="preserve">Se registra la hora de acostarse, el momento en que intenta dormir, latencia, despertares, despertar final y hora de levantarse. Hay que distinguir </w:t>
      </w:r>
      <w:r>
        <w:rPr>
          <w:b/>
        </w:rPr>
        <w:t>tiempo en cama</w:t>
      </w:r>
      <w:r>
        <w:t xml:space="preserve"> de </w:t>
      </w:r>
      <w:r>
        <w:rPr>
          <w:b/>
        </w:rPr>
        <w:t>tiempo total de sueño</w:t>
      </w:r>
      <w:r>
        <w:t>; su relación estima eficiencia. Se preguntan siestas, turnos, exposición a luz, ejercicio, pantallas, cafeína, alcohol, nicotina, cannabis y otros fármacos o sustancias.</w:t>
      </w:r>
    </w:p>
    <w:p>
      <w:r>
        <w:t>La noche se explora por ronquido, pausas, ahogos, nocturia, movimientos, dolor, reflujo, pesadillas, conductas complejas, parálisis y experiencias hipnagógicas o hipnopómpicas. El día se evalúa por somnolencia, fatiga, irritabilidad, concentración, errores, desempeño y conducción. Somnolencia es propensión a dormirse; fatiga es falta de energía y no son equivalentes.</w:t>
      </w:r>
    </w:p>
    <w:p>
      <w:r>
        <w:t>Un diario de una o dos semanas registra horarios, sueño estimado, siestas, sustancias y medicación. Permite ver regularidad y discrepancias que la memoria pierde. La actigrafía puede ayudar en trastornos circadianos o estimaciones longitudinales seleccionadas, pero no sustituye la historia.</w:t>
      </w:r>
    </w:p>
    <w:p>
      <w:pPr>
        <w:pStyle w:val="Heading1"/>
      </w:pPr>
      <w:r>
        <w:t>Regulación y diagnóstico diferencial</w:t>
      </w:r>
    </w:p>
    <w:p>
      <w:r>
        <w:t>El sueño depende de dos procesos. La presión homeostática aumenta con la vigilia y disminuye al dormir. El sistema circadiano sincroniza sueño y alerta mediante luz, horarios y conductas. En insomnio crónico se agrega hiperactivación cognitiva y fisiológica; extender el tiempo en cama puede fragmentar aún más el sueño.</w:t>
      </w:r>
    </w:p>
    <w:p>
      <w:r>
        <w:t>El insomnio crónico supone dificultad para iniciar o mantener el sueño, o despertar antes de lo deseado, pese a oportunidad y circunstancias adecuadas, con repercusión diurna. En adultos, los sistemas diagnósticos operacionalizan la cronicidad habitualmente como síntomas al menos tres noches por semana durante al menos tres meses. Si la persona duerme poco porque trabaja, cuida a alguien o usa pantallas hasta tarde, primero existe oportunidad insuficiente. En fase retrasada puede dormir normalmente cuando se le permite un horario tardío; el conflicto está entre su ritmo y las exigencias sociales.</w:t>
      </w:r>
    </w:p>
    <w:p>
      <w:r>
        <w:t>La apnea obstructiva se sospecha ante ronquido, pausas, ahogos, nocturia, cefalea matinal, hipertensión o somnolencia. Puede existir sin obesidad. El síndrome de piernas inquietas produce necesidad de mover las piernas, empeora en reposo y por la tarde o noche y mejora al moverse; se revisan hierro, embarazo, insuficiencia renal y medicamentos que pueden agravarlo.</w:t>
      </w:r>
    </w:p>
    <w:p>
      <w:r>
        <w:t xml:space="preserve">Depresión, ansiedad, TEPT, dolor, menopausia, hipertiroidismo y sustancias modifican sueño. La </w:t>
      </w:r>
      <w:r>
        <w:rPr>
          <w:b/>
        </w:rPr>
        <w:t>menor necesidad de dormir</w:t>
      </w:r>
      <w:r>
        <w:t xml:space="preserve"> es distinta del insomnio: la persona duerme pocas horas sin sentirse cansada y aumenta energía o actividad. Junto a exaltación, irritabilidad o desinhibición, obliga a evaluar hipomanía o manía.</w:t>
      </w:r>
    </w:p>
    <w:p>
      <w:pPr>
        <w:pStyle w:val="Heading1"/>
      </w:pPr>
      <w:r>
        <w:t>Sueño alterado en hospital y delirium</w:t>
      </w:r>
    </w:p>
    <w:p>
      <w:r>
        <w:t>Una inversión aguda del ciclo sueño–vigilia en una persona hospitalizada no debe etiquetarse de inmediato como insomnio. Si apareció en horas o días junto con inatención, respuestas lentas, desorientación, percepciones anormales o fluctuación, se sospecha delirium y se busca una causa o combinación de causas. El delirium puede ser hiperactivo, hipoactivo o mixto; el hipoactivo se confunde con sueño, depresión o “buena conducta”.</w:t>
      </w:r>
    </w:p>
    <w:p>
      <w:r>
        <w:t>En hospital o cuidados de larga estadía, NICE recomienda evaluar con 4AT cuando existen indicadores; en cuidados críticos o recuperación anestésica se utilizan CAM-ICU o ICDSC. El tratamiento central es corregir causas, reorientar, manejar dolor, hidratación, oxigenación, medicamentos y entorno. Proteger el sueño mediante luz diurna, movilidad y menos interrupciones nocturnas ayuda, pero un hipnótico no trata el delirium y puede empeorar confusión, caídas o ventilación.</w:t>
      </w:r>
    </w:p>
    <w:p>
      <w:pPr>
        <w:pStyle w:val="Heading1"/>
      </w:pPr>
      <w:r>
        <w:t>Terapia cognitivo-conductual para insomnio</w:t>
      </w:r>
    </w:p>
    <w:p>
      <w:r>
        <w:t>La TCC-I es primera línea para insomnio crónico y combina varios componentes. El control de estímulos vuelve a asociar cama con sueño: se reserva para dormir y actividad sexual, y se abandona temporalmente si la vigilia se prolonga. La restricción o compresión del tiempo en cama consolida el sueño, con aumento gradual cuando mejora eficiencia. Se mantiene una hora estable de levantarse y se trabajan creencias catastróficas, atención excesiva al sueño y estrategias de reducción de activación.</w:t>
      </w:r>
    </w:p>
    <w:p>
      <w:r>
        <w:t>La higiene del sueño —ambiente, sustancias, ejercicio y rutinas— apoya, pero por sí sola rara vez corrige insomnio crónico. Decir solamente “no mire pantallas” puede culpabilizar y omitir el mecanismo conductual.</w:t>
      </w:r>
    </w:p>
    <w:p>
      <w:r>
        <w:t>La compresión debe adaptarse: no consiste en indicar privación de sueño ni en reducir horas sin un cálculo y seguimiento clínicos. Se requiere cautela y supervisión en bipolaridad inestable, epilepsia, somnolencia grave, embarazo y trabajos con riesgo; una reducción excesiva de sueño puede ser peligrosa. El tratamiento puede entregarse individualmente, en grupo o mediante programas digitales validados, con seguimiento de adherencia y seguridad.</w:t>
      </w:r>
    </w:p>
    <w:p>
      <w:pPr>
        <w:pStyle w:val="Heading1"/>
      </w:pPr>
      <w:r>
        <w:t>Uso prudente de medicamentos</w:t>
      </w:r>
    </w:p>
    <w:p>
      <w:r>
        <w:t>Antes de prescribir se define objetivo, duración, seguimiento y estrategia de retiro. Benzodiazepinas y fármacos Z ofrecen beneficio a corto plazo, pero pueden causar tolerancia, dependencia, caídas, amnesia, deterioro psicomotor y conductas complejas de sueño. El riesgo aumenta con alcohol, opioides, apnea, edad avanzada y conducción.</w:t>
      </w:r>
    </w:p>
    <w:p>
      <w:r>
        <w:t>Los antagonistas de orexina, donde estén disponibles y regulados, tienen un mecanismo diferente, pero todavía exigen evaluar somnolencia, interacciones y costo. La melatonina puede ser útil para modificar fase circadiana; su horario debe definirse según el objetivo y no asumirse como sedante universal. Antidepresivos sedantes se reservan para casos en que comorbilidad y relación beneficio-riesgo los justifican. Antihistamínicos, trazodona y otros fármacos usados por costumbre tampoco deben reemplazar automáticamente a TCC-I ni prescribirse sin revisar evidencia y riesgos individuales.</w:t>
      </w:r>
    </w:p>
    <w:p>
      <w:r>
        <w:t>Los antipsicóticos no deben utilizarse como hipnóticos rutinarios por su carga metabólica, neurológica y cardiovascular. La quetiapina de Carolina no se justifica sólo porque produce sueño; si existe bipolaridad, su indicación se analiza como tratamiento del trastorno, no como sedante. La deprescripción de benzodiazepinas o fármacos Z es gradual y suele funcionar mejor acompañada por TCC-I.</w:t>
      </w:r>
    </w:p>
    <w:p>
      <w:pPr>
        <w:pStyle w:val="Heading1"/>
      </w:pPr>
      <w:r>
        <w:t>Hipersomnolencia, narcolepsia y parasomnias</w:t>
      </w:r>
    </w:p>
    <w:p>
      <w:r>
        <w:t>Ante somnolencia excesiva, primero se cuantifica sueño y se descartan privación, apnea, sedantes y depresión. La narcolepsia produce somnolencia irresistible; en tipo 1 puede existir cataplexia, pérdida súbita de tono desencadenada por emoción. Parálisis de sueño y fenómenos hipnagógicos apoyan, pero la tétrada clásica no siempre está completa. El diagnóstico especializado utiliza polisomnografía nocturna y prueba de latencias múltiples bajo condiciones estandarizadas; no se prescriben estimulantes sin aclarar sueño insuficiente o apnea.</w:t>
      </w:r>
    </w:p>
    <w:p>
      <w:r>
        <w:t>Sonambulismo y terrores suelen emerger del sueño NREM y se precipitan por privación, alcohol o fármacos. Las pesadillas implican recuerdo del contenido y son frecuentes en TEPT, aunque no exclusivas. En trastorno conductual del sueño REM se pierde atonía y se actúan sueños; puede preceder sinucleinopatías y amerita evaluación neurológica. Episodios estereotipados también plantean epilepsia. Las medidas ambientales —retirar objetos peligrosos, proteger ventanas y separar temporalmente camas si hay golpes— preceden a la farmacoterapia.</w:t>
      </w:r>
    </w:p>
    <w:p>
      <w:r>
        <w:t>La polisomnografía se solicita ante sospecha de apnea, conductas nocturnas complejas, narcolepsia u otros cuadros específicos; no es rutinaria para insomnio no complicado. Cualquier somnolencia que comprometa conducción o maquinaria exige consejo inmediato de seguridad.</w:t>
      </w:r>
    </w:p>
    <w:p>
      <w:pPr>
        <w:pStyle w:val="Heading1"/>
      </w:pPr>
      <w:r>
        <w:t>Errores frecuentes</w:t>
      </w:r>
    </w:p>
    <w:p>
      <w:pPr>
        <w:pStyle w:val="ListBullet"/>
      </w:pPr>
      <w:r>
        <w:t>Diagnosticar insomnio sin preguntar horario y oportunidad real de dormir.</w:t>
      </w:r>
    </w:p>
    <w:p>
      <w:pPr>
        <w:pStyle w:val="ListBullet"/>
      </w:pPr>
      <w:r>
        <w:t>Confundir fatiga con somnolencia o insomnio con menor necesidad de sueño.</w:t>
      </w:r>
    </w:p>
    <w:p>
      <w:pPr>
        <w:pStyle w:val="ListBullet"/>
      </w:pPr>
      <w:r>
        <w:t>Reducir TCC-I a higiene del sueño.</w:t>
      </w:r>
    </w:p>
    <w:p>
      <w:pPr>
        <w:pStyle w:val="ListBullet"/>
      </w:pPr>
      <w:r>
        <w:t>Usar quetiapina u otros antipsicóticos sólo para sedar.</w:t>
      </w:r>
    </w:p>
    <w:p>
      <w:pPr>
        <w:pStyle w:val="ListBullet"/>
      </w:pPr>
      <w:r>
        <w:t>Añadir hipnóticos sin detectar apnea o combinación de depresores.</w:t>
      </w:r>
    </w:p>
    <w:p>
      <w:pPr>
        <w:pStyle w:val="ListBullet"/>
      </w:pPr>
      <w:r>
        <w:t>Suspender benzodiazepinas abruptamente o pedir polisomnografía a todos.</w:t>
      </w:r>
    </w:p>
    <w:p>
      <w:pPr>
        <w:pStyle w:val="Heading1"/>
      </w:pPr>
      <w:r>
        <w:t>Para recordar</w:t>
      </w:r>
    </w:p>
    <w:p>
      <w:pPr>
        <w:spacing w:after="60" w:line="288" w:lineRule="auto"/>
        <w:ind w:left="432" w:hanging="216"/>
        <w:shd w:fill="EAF6F3"/>
        <w:keepNext/>
        <w:keepLines/>
        <w:pBdr>
          <w:left w:val="single" w:sz="8" w:space="8" w:color="2A8C82"/>
        </w:pBdr>
      </w:pPr>
      <w:r>
        <w:t>1. Evalúe las 24 horas, no sólo la noche.</w:t>
      </w:r>
    </w:p>
    <w:p>
      <w:pPr>
        <w:spacing w:after="60" w:line="288" w:lineRule="auto"/>
        <w:ind w:left="432" w:hanging="216"/>
        <w:shd w:fill="EAF6F3"/>
        <w:keepNext/>
        <w:keepLines/>
        <w:pBdr>
          <w:left w:val="single" w:sz="8" w:space="8" w:color="2A8C82"/>
        </w:pBdr>
      </w:pPr>
      <w:r>
        <w:t>2. Horario, oportunidad y repercusión distinguen diagnósticos.</w:t>
      </w:r>
    </w:p>
    <w:p>
      <w:pPr>
        <w:spacing w:after="60" w:line="288" w:lineRule="auto"/>
        <w:ind w:left="432" w:hanging="216"/>
        <w:shd w:fill="EAF6F3"/>
        <w:keepNext/>
        <w:keepLines/>
        <w:pBdr>
          <w:left w:val="single" w:sz="8" w:space="8" w:color="2A8C82"/>
        </w:pBdr>
      </w:pPr>
      <w:r>
        <w:t>3. La TCC-I es primera línea en insomnio crónico.</w:t>
      </w:r>
    </w:p>
    <w:p>
      <w:pPr>
        <w:spacing w:after="60" w:line="288" w:lineRule="auto"/>
        <w:ind w:left="432" w:hanging="216"/>
        <w:shd w:fill="EAF6F3"/>
        <w:keepNext/>
        <w:keepLines/>
        <w:pBdr>
          <w:left w:val="single" w:sz="8" w:space="8" w:color="2A8C82"/>
        </w:pBdr>
      </w:pPr>
      <w:r>
        <w:t>4. Todo medicamento requiere objetivo, plazo, vigilancia y retiro planificado.</w:t>
      </w:r>
    </w:p>
    <w:p>
      <w:pPr>
        <w:spacing w:after="60" w:line="288" w:lineRule="auto"/>
        <w:ind w:left="432" w:hanging="216"/>
        <w:shd w:fill="EAF6F3"/>
        <w:keepLines/>
        <w:pBdr>
          <w:left w:val="single" w:sz="8" w:space="8" w:color="2A8C82"/>
        </w:pBdr>
      </w:pPr>
      <w:r>
        <w:t>5. Ronquido con apneas, somnolencia vial, cataplexia o actuación de sueños cambian la ruta.</w:t>
      </w:r>
    </w:p>
    <w:p>
      <w:pPr>
        <w:pStyle w:val="Heading1"/>
      </w:pPr>
      <w:r>
        <w:t>Bibliografía esencial</w:t>
      </w:r>
    </w:p>
    <w:p>
      <w:pPr>
        <w:pStyle w:val="Bibliography"/>
      </w:pPr>
      <w:r>
        <w:t xml:space="preserve">1. American Academy of Sleep Medicine. </w:t>
      </w:r>
      <w:r>
        <w:rPr>
          <w:i/>
        </w:rPr>
        <w:t>International Classification of Sleep Disorders</w:t>
      </w:r>
      <w:r>
        <w:t>. 3rd ed, text revision. AASM; 2023.</w:t>
      </w:r>
    </w:p>
    <w:p>
      <w:pPr>
        <w:pStyle w:val="Bibliography"/>
      </w:pPr>
      <w:r>
        <w:t xml:space="preserve">2. Edinger JD, Arnedt JT, Bertisch SM, et al. Behavioral and psychological treatments for chronic insomnia disorder in adults: an American Academy of Sleep Medicine clinical practice guideline. </w:t>
      </w:r>
      <w:r>
        <w:rPr>
          <w:i/>
        </w:rPr>
        <w:t>Journal of Clinical Sleep Medicine</w:t>
      </w:r>
      <w:r>
        <w:t xml:space="preserve">. 2021;17:255-262. </w:t>
      </w:r>
      <w:hyperlink r:id="rId119">
        <w:r>
          <w:rPr>
            <w:color w:val="246B8E"/>
            <w:u w:val="single"/>
          </w:rPr>
          <w:t>Guía</w:t>
        </w:r>
      </w:hyperlink>
      <w:r>
        <w:t>.</w:t>
      </w:r>
    </w:p>
    <w:p>
      <w:pPr>
        <w:pStyle w:val="Bibliography"/>
      </w:pPr>
      <w:r>
        <w:t xml:space="preserve">3. Qaseem A, Kansagara D, Forciea MA, Cooke M, Denberg TD. Management of chronic insomnia disorder in adults: a clinical practice guideline from the American College of Physicians. </w:t>
      </w:r>
      <w:r>
        <w:rPr>
          <w:i/>
        </w:rPr>
        <w:t>Annals of Internal Medicine</w:t>
      </w:r>
      <w:r>
        <w:t>. 2016;165:125-133.</w:t>
      </w:r>
    </w:p>
    <w:p>
      <w:pPr>
        <w:pStyle w:val="Bibliography"/>
      </w:pPr>
      <w:r>
        <w:t xml:space="preserve">4. Riemann D, Espie CA, Altena E, et al. The European Insomnia Guideline: an update on the diagnosis and treatment of insomnia 2023. </w:t>
      </w:r>
      <w:r>
        <w:rPr>
          <w:i/>
        </w:rPr>
        <w:t>Journal of Sleep Research</w:t>
      </w:r>
      <w:r>
        <w:t>. 2023;32:e14035.</w:t>
      </w:r>
    </w:p>
    <w:p>
      <w:pPr>
        <w:pStyle w:val="Bibliography"/>
      </w:pPr>
      <w:r>
        <w:t xml:space="preserve">5. Department of Veterans Affairs, Department of Defense. </w:t>
      </w:r>
      <w:r>
        <w:rPr>
          <w:i/>
        </w:rPr>
        <w:t>Clinical Practice Guideline for the Management of Chronic Insomnia Disorder and Obstructive Sleep Apnea</w:t>
      </w:r>
      <w:r>
        <w:t xml:space="preserve">. 2025. </w:t>
      </w:r>
      <w:hyperlink r:id="rId120">
        <w:r>
          <w:rPr>
            <w:color w:val="246B8E"/>
            <w:u w:val="single"/>
          </w:rPr>
          <w:t>Guía</w:t>
        </w:r>
      </w:hyperlink>
      <w:r>
        <w:t>.</w:t>
      </w:r>
    </w:p>
    <w:p>
      <w:pPr>
        <w:pStyle w:val="Bibliography"/>
      </w:pPr>
      <w:r>
        <w:t xml:space="preserve">6. National Institute for Health and Care Excellence. </w:t>
      </w:r>
      <w:r>
        <w:rPr>
          <w:i/>
        </w:rPr>
        <w:t>Delirium: prevention, diagnosis and management in hospital and long-term care</w:t>
      </w:r>
      <w:r>
        <w:t xml:space="preserve"> (CG103). Actualización 2023. </w:t>
      </w:r>
      <w:hyperlink r:id="rId121">
        <w:r>
          <w:rPr>
            <w:color w:val="246B8E"/>
            <w:u w:val="single"/>
          </w:rPr>
          <w:t>Guía</w:t>
        </w:r>
      </w:hyperlink>
      <w:r>
        <w:t>.</w:t>
      </w:r>
    </w:p>
    <w:p>
      <w:r>
        <w:br w:type="page"/>
      </w:r>
    </w:p>
    <w:p>
      <w:pPr>
        <w:spacing w:after="480"/>
      </w:pPr>
      <w:r>
        <w:rPr>
          <w:rFonts w:ascii="Calibri" w:hAnsi="Calibri"/>
          <w:b/>
          <w:color w:val="2A8C82"/>
          <w:sz w:val="20"/>
        </w:rPr>
        <w:t>CAPÍTULO 41 · MATERIAL PARA ESTUDIANTES</w:t>
      </w:r>
    </w:p>
    <w:tbl>
      <w:tblPr>
        <w:tblW w:type="auto" w:w="0"/>
        <w:jc w:val="left"/>
        <w:tblLayout w:type="fixed"/>
        <w:tblLook w:firstColumn="1" w:firstRow="1" w:lastColumn="0" w:lastRow="0" w:noHBand="0" w:noVBand="1" w:val="04A0"/>
      </w:tblPr>
      <w:tblGrid>
        <w:gridCol w:w="9648"/>
      </w:tblGrid>
      <w:tr>
        <w:trPr>
          <w:tblHeader w:val="true"/>
        </w:trPr>
        <w:tc>
          <w:tcPr>
            <w:tcW w:type="dxa" w:w="9072"/>
            <w:shd w:fill="173A5E"/>
            <w:tcMar>
              <w:top w:w="120" w:type="dxa"/>
              <w:start w:w="220" w:type="dxa"/>
              <w:bottom w:w="120" w:type="dxa"/>
              <w:end w:w="220" w:type="dxa"/>
            </w:tcMar>
          </w:tcPr>
          <w:p>
            <w:pPr>
              <w:spacing w:after="0"/>
            </w:pPr>
            <w:r>
              <w:rPr>
                <w:rFonts w:ascii="Calibri" w:hAnsi="Calibri"/>
                <w:b/>
                <w:color w:val="FFFFFF"/>
                <w:sz w:val="19"/>
              </w:rPr>
              <w:t>MÓDULO II · PATOLOGÍAS, GES Y TRATAMIENTOS</w:t>
            </w:r>
          </w:p>
        </w:tc>
      </w:tr>
    </w:tbl>
    <w:p>
      <w:pPr>
        <w:pStyle w:val="Title"/>
        <w:spacing w:before="520" w:after="360"/>
        <w:outlineLvl w:val="0"/>
      </w:pPr>
      <w:bookmarkStart w:id="1041" w:name="chapter_41"/>
      <w:r>
        <w:t>Delirium: reconocimiento, etiología y manejo</w:t>
      </w:r>
      <w:bookmarkEnd w:id="1041"/>
    </w:p>
    <w:p>
      <w:pPr>
        <w:spacing w:after="80"/>
      </w:pPr>
      <w:r>
        <w:rPr>
          <w:rFonts w:ascii="Calibri" w:hAnsi="Calibri"/>
          <w:b/>
          <w:color w:val="246B8E"/>
          <w:sz w:val="26"/>
        </w:rPr>
        <w:t>Programa de Psiquiatría para internos de Medicina</w:t>
      </w:r>
    </w:p>
    <w:p>
      <w:r>
        <w:rPr>
          <w:rFonts w:ascii="Calibri" w:hAnsi="Calibri"/>
          <w:color w:val="6B7280"/>
          <w:sz w:val="22"/>
        </w:rPr>
        <w:t>Lectura complementaria · Chile · Versión final para revisión humana · 2026</w:t>
      </w:r>
    </w:p>
    <w:p/>
    <w:p/>
    <w:p/>
    <w:p/>
    <w:p/>
    <w:tbl>
      <w:tblPr>
        <w:tblW w:type="auto" w:w="0"/>
        <w:jc w:val="left"/>
        <w:tblLayout w:type="fixed"/>
        <w:tblLook w:firstColumn="1" w:firstRow="1" w:lastColumn="0" w:lastRow="0" w:noHBand="0" w:noVBand="1" w:val="04A0"/>
      </w:tblPr>
      <w:tblGrid>
        <w:gridCol w:w="9648"/>
      </w:tblGrid>
      <w:tr>
        <w:trPr>
          <w:tblHeader w:val="true"/>
        </w:trPr>
        <w:tc>
          <w:tcPr>
            <w:tcW w:type="dxa" w:w="9648"/>
            <w:shd w:fill="F3F5F6"/>
            <w:tcBorders>
              <w:start w:val="single" w:sz="18" w:color="2A8C82"/>
            </w:tcBorders>
            <w:tcMar>
              <w:top w:w="160" w:type="dxa"/>
              <w:start w:w="220" w:type="dxa"/>
              <w:bottom w:w="160" w:type="dxa"/>
              <w:end w:w="220" w:type="dxa"/>
            </w:tcMar>
          </w:tcPr>
          <w:p>
            <w:pPr>
              <w:spacing w:after="0"/>
            </w:pPr>
            <w:r>
              <w:rPr>
                <w:rFonts w:ascii="Calibri" w:hAnsi="Calibri"/>
                <w:i/>
                <w:color w:val="6B7280"/>
                <w:sz w:val="18"/>
              </w:rPr>
              <w:t>Versión docente final para revisión humana. Material propuesto y contextualizado a Chile; no corresponde a un programa oficial de la Pontificia Universidad Católica de Chile ni sustituye protocolos locales, supervisión clínica o evaluación especializada. Fuentes revisadas al 15 de agosto de 2026.</w:t>
            </w:r>
          </w:p>
        </w:tc>
      </w:tr>
    </w:tbl>
    <w:p>
      <w:r>
        <w:br w:type="page"/>
      </w:r>
    </w:p>
    <w:tbl>
      <w:tblPr>
        <w:tblW w:type="auto" w:w="0"/>
        <w:jc w:val="center"/>
        <w:tblLayout w:type="autofit"/>
        <w:tblLook w:firstColumn="1" w:firstRow="1" w:lastColumn="0" w:lastRow="0" w:noHBand="0" w:noVBand="1" w:val="04A0"/>
      </w:tblPr>
      <w:tblGrid>
        <w:gridCol w:w="9648"/>
      </w:tblGrid>
      <w:tr>
        <w:trPr>
          <w:tblHeader w:val="true"/>
        </w:trPr>
        <w:tc>
          <w:tcPr>
            <w:tcW w:type="dxa" w:w="9648"/>
            <w:vAlign w:val="center"/>
            <w:shd w:fill="EAF3F7"/>
            <w:tcBorders>
              <w:start w:val="single" w:sz="14" w:color="2A8C82"/>
            </w:tcBorders>
            <w:tcMar>
              <w:top w:w="130" w:type="dxa"/>
              <w:start w:w="190" w:type="dxa"/>
              <w:bottom w:w="130" w:type="dxa"/>
              <w:end w:w="190" w:type="dxa"/>
            </w:tcMar>
          </w:tcPr>
          <w:p>
            <w:pPr>
              <w:spacing w:after="0"/>
            </w:pPr>
            <w:r>
              <w:rPr>
                <w:b/>
                <w:color w:val="173A5E"/>
              </w:rPr>
              <w:t xml:space="preserve">PREGUNTA CLÍNICA  </w:t>
            </w:r>
            <w:r>
              <w:t>¿Cómo reconocer una disfunción cerebral aguda antes de confundirla con demencia, depresión, psicosis o “mala conducta”?</w:t>
            </w:r>
          </w:p>
        </w:tc>
      </w:tr>
    </w:tbl>
    <w:p>
      <w:pPr>
        <w:spacing w:after="0"/>
      </w:pPr>
    </w:p>
    <w:tbl>
      <w:tblPr>
        <w:tblW w:type="auto" w:w="0"/>
        <w:jc w:val="center"/>
        <w:tblLayout w:type="autofit"/>
        <w:tblLook w:firstColumn="1" w:firstRow="1" w:lastColumn="0" w:lastRow="0" w:noHBand="0" w:noVBand="1" w:val="04A0"/>
      </w:tblPr>
      <w:tblGrid>
        <w:gridCol w:w="9648"/>
      </w:tblGrid>
      <w:tr>
        <w:trPr>
          <w:tblHeader w:val="true"/>
        </w:trPr>
        <w:tc>
          <w:tcPr>
            <w:tcW w:type="dxa" w:w="9648"/>
            <w:vAlign w:val="center"/>
            <w:shd w:fill="EAF6F3"/>
            <w:tcBorders>
              <w:start w:val="single" w:sz="14" w:color="2A8C82"/>
            </w:tcBorders>
            <w:tcMar>
              <w:top w:w="130" w:type="dxa"/>
              <w:start w:w="190" w:type="dxa"/>
              <w:bottom w:w="130" w:type="dxa"/>
              <w:end w:w="190" w:type="dxa"/>
            </w:tcMar>
          </w:tcPr>
          <w:p>
            <w:pPr>
              <w:spacing w:after="0"/>
            </w:pPr>
            <w:r>
              <w:rPr>
                <w:b/>
                <w:color w:val="173A5E"/>
              </w:rPr>
              <w:t xml:space="preserve">IDEA CENTRAL  </w:t>
            </w:r>
            <w:r>
              <w:t>el delirium es una emergencia médica definida por inicio agudo, fluctuación e inatención. El tratamiento principal es identificar y corregir causas, mientras se protege el cerebro con medidas ambientales y de soporte.</w:t>
            </w:r>
          </w:p>
        </w:tc>
      </w:tr>
    </w:tbl>
    <w:p>
      <w:pPr>
        <w:spacing w:after="0"/>
      </w:pPr>
    </w:p>
    <w:p>
      <w:pPr>
        <w:pStyle w:val="Heading1"/>
      </w:pPr>
      <w:r>
        <w:t>Por qué importa</w:t>
      </w:r>
    </w:p>
    <w:p>
      <w:r>
        <w:t>El delirium es frecuente en hospitalización, urgencia y personas mayores, pero el subtipo hipoactivo se confunde con depresión, cansancio o “poca colaboración”. Su presencia se asocia a caídas, institucionalización, deterioro cognitivo y mortalidad. No es una consecuencia inevitable de la edad ni una psicosis primaria.</w:t>
      </w:r>
    </w:p>
    <w:p>
      <w:r>
        <w:t>El Perfil de Conocimientos EUNACOM v3, publicado en junio de 2026 y aplicable desde el examen de diciembre de 2026, exige para delirium diagnóstico específico, tratamiento completo y derivación para seguimiento. El mismo nivel figura en psiquiatría y en la urgencia geriátrica denominada síndrome confusional agudo/delirium. Esto exige reconocerlo sin esperar agitación, estabilizar, investigar en paralelo y escalar cuando el nivel de atención supera la capacidad local; no significa que la derivación sustituya el manejo médico inicial.</w:t>
      </w:r>
    </w:p>
    <w:p>
      <w:pPr>
        <w:pStyle w:val="Heading1"/>
      </w:pPr>
      <w:r>
        <w:t>Objetivos de aprendizaje</w:t>
      </w:r>
    </w:p>
    <w:p>
      <w:pPr>
        <w:keepNext/>
      </w:pPr>
      <w:r>
        <w:t>Al finalizar esta lectura, el estudiante podrá:</w:t>
      </w:r>
    </w:p>
    <w:p>
      <w:pPr>
        <w:spacing w:after="60" w:line="288" w:lineRule="auto"/>
        <w:ind w:left="432" w:hanging="216"/>
      </w:pPr>
      <w:r>
        <w:t>1. Reconocer inicio agudo, fluctuación e inatención.</w:t>
      </w:r>
    </w:p>
    <w:p>
      <w:pPr>
        <w:spacing w:after="60" w:line="288" w:lineRule="auto"/>
        <w:ind w:left="432" w:hanging="216"/>
      </w:pPr>
      <w:r>
        <w:t>2. Diferenciar subtipos hiperactivo, hipoactivo y mixto.</w:t>
      </w:r>
    </w:p>
    <w:p>
      <w:pPr>
        <w:spacing w:after="60" w:line="288" w:lineRule="auto"/>
        <w:ind w:left="432" w:hanging="216"/>
      </w:pPr>
      <w:r>
        <w:t>3. Utilizar 4AT o CAM como apoyo, no como sustituto clínico.</w:t>
      </w:r>
    </w:p>
    <w:p>
      <w:pPr>
        <w:spacing w:after="60" w:line="288" w:lineRule="auto"/>
        <w:ind w:left="432" w:hanging="216"/>
      </w:pPr>
      <w:r>
        <w:t>4. Formular vulnerabilidades y precipitantes multifactoriales.</w:t>
      </w:r>
    </w:p>
    <w:p>
      <w:pPr>
        <w:spacing w:after="60" w:line="288" w:lineRule="auto"/>
        <w:ind w:left="432" w:hanging="216"/>
      </w:pPr>
      <w:r>
        <w:t>5. Iniciar prevención y manejo no farmacológico.</w:t>
      </w:r>
    </w:p>
    <w:p>
      <w:pPr>
        <w:spacing w:after="60" w:line="288" w:lineRule="auto"/>
        <w:ind w:left="432" w:hanging="216"/>
      </w:pPr>
      <w:r>
        <w:t>6. Reservar psicofármacos para indicaciones limitadas y monitorizadas.</w:t>
      </w:r>
    </w:p>
    <w:p>
      <w:pPr>
        <w:pStyle w:val="Heading1"/>
      </w:pPr>
      <w:r>
        <w:t>Caso clínico</w:t>
      </w:r>
    </w:p>
    <w:p>
      <w:pPr>
        <w:shd w:fill="EAF3F7"/>
        <w:keepNext/>
        <w:keepLines/>
        <w:pBdr>
          <w:left w:val="single" w:sz="8" w:space="8" w:color="246B8E"/>
        </w:pBdr>
        <w:ind w:left="173" w:right="86"/>
      </w:pPr>
      <w:r>
        <w:t>Elena, de 78 años, se hospitaliza por fractura de cadera. Al segundo día deja de comer, responde lentamente y “parece deprimida”. Durante la noche intenta retirarse las vías y refiere niños en la habitación. Recibe zolpidem y por la mañana está aún más somnolienta. Tiene hipoacusia, dolor, constipación y creatinina en ascenso.</w:t>
      </w:r>
    </w:p>
    <w:p>
      <w:pPr>
        <w:shd w:fill="EAF3F7"/>
        <w:keepLines/>
        <w:pBdr>
          <w:left w:val="single" w:sz="8" w:space="8" w:color="246B8E"/>
        </w:pBdr>
        <w:ind w:left="173" w:right="86"/>
      </w:pPr>
      <w:r>
        <w:t>La agitación nocturna es sólo una parte del cuadro. El cambio respecto del basal, la fluctuación y la inatención permiten reconocer delirium mixto, probablemente multifactorial.</w:t>
      </w:r>
    </w:p>
    <w:p>
      <w:pPr>
        <w:pStyle w:val="Heading1"/>
      </w:pPr>
      <w:r>
        <w:t>Fenomenología y subtipos</w:t>
      </w:r>
    </w:p>
    <w:p>
      <w:r>
        <w:t>El delirium se desarrolla en horas o días. La persona pierde capacidad para dirigir, sostener o cambiar el foco de atención, disminuye su conciencia del entorno y presenta otra alteración cognitiva, por ejemplo de memoria, orientación, lenguaje o percepción. El curso fluctúa: puede conversar adecuadamente en un momento y estar desorganizada o somnolienta después. El empeoramiento vespertino es común, pero no requisito.</w:t>
      </w:r>
    </w:p>
    <w:p>
      <w:r>
        <w:t>Pueden existir pensamiento desorganizado, desorientación, fallas de memoria, ilusiones, alucinaciones y alteración del ciclo sueño-vigilia. En el subtipo hiperactivo predominan inquietud, hipervigilancia o agitación. En el hipoactivo hay enlentecimiento, somnolencia, menor ingesta y contacto reducido. El mixto alterna ambos. El hipoactivo es fácil de omitir y no es benigno.</w:t>
      </w:r>
    </w:p>
    <w:p>
      <w:r>
        <w:t>Una demencia previa aumenta la vulnerabilidad, pero no excluye delirium: el cambio agudo se superpone a la línea basal. Para establecer ese basal se necesita familia, cuidadores, ficha y equipo. Preguntas concretas —“¿cómo conversaba y se orientaba hace una semana?”— son más útiles que “¿siempre ha sido así?”.</w:t>
      </w:r>
    </w:p>
    <w:p>
      <w:pPr>
        <w:pStyle w:val="Heading1"/>
      </w:pPr>
      <w:r>
        <w:t>Detección al lado de la cama</w:t>
      </w:r>
    </w:p>
    <w:p>
      <w:r>
        <w:t>La evaluación comienza por observar vigilia, contacto y seguimiento de la conversación. Se puede pedir recitar los meses al revés u otra tarea breve adaptada a idioma, escolaridad, visión y audición. No completar una prueba por somnolencia ya es información; no se puntúa como si fuera simple desconocimiento.</w:t>
      </w:r>
    </w:p>
    <w:p>
      <w:r>
        <w:t xml:space="preserve">El </w:t>
      </w:r>
      <w:r>
        <w:rPr>
          <w:b/>
        </w:rPr>
        <w:t>4AT</w:t>
      </w:r>
      <w:r>
        <w:t xml:space="preserve"> integra alerta, cognición breve, atención y cambio agudo o fluctuación. El </w:t>
      </w:r>
      <w:r>
        <w:rPr>
          <w:b/>
        </w:rPr>
        <w:t>CAM</w:t>
      </w:r>
      <w:r>
        <w:t xml:space="preserve"> considera inicio agudo/fluctuante e inatención, más pensamiento desorganizado o alteración del nivel de conciencia. NICE recomienda 4AT en hospital y larga estadía cuando aparecen indicadores; en cuidados críticos o recuperación anestésica prefiere CAM-ICU o ICDSC. Estas herramientas apoyan detección, pero un puntaje no establece etiología ni reemplaza la confirmación clínica. Afasia, hipoacusia, barrera lingüística, discapacidad intelectual y sedación pueden distorsionar el resultado y deben documentarse.</w:t>
      </w:r>
    </w:p>
    <w:p>
      <w:r>
        <w:t>Se documenta evidencia concreta: “desde ayer alterna somnolencia y agitación; no logra mantener los meses al revés; familia confirma conversación normal hace tres días”. “Confuso” sin detalles es difícil de seguir y transmitir.</w:t>
      </w:r>
    </w:p>
    <w:p>
      <w:pPr>
        <w:pStyle w:val="Heading1"/>
      </w:pPr>
      <w:r>
        <w:t>Vulnerabilidad, precipitantes y estudio</w:t>
      </w:r>
    </w:p>
    <w:p>
      <w:r>
        <w:t>El delirium suele surgir por la interacción entre vulnerabilidad y agresiones agudas. Edad, demencia, fragilidad, enfermedad neurológica, déficit sensorial y polifarmacia reducen la reserva. Entre los precipitantes están infección, hipoxia, dolor, cirugía, deshidratación, hemorragia, alteraciones metabólicas, retención urinaria, impactación fecal y cambio ambiental.</w:t>
      </w:r>
    </w:p>
    <w:p>
      <w:r>
        <w:t>Los fármacos merecen revisión explícita: anticolinérgicos, benzodiazepinas y otros sedantes, opioides, corticoides y combinaciones. También se considera abstinencia de alcohol o benzodiazepinas. Una causa no excluye otra; el error de buscar una “bala de plata” deja precipitantes sin tratar.</w:t>
      </w:r>
    </w:p>
    <w:p>
      <w:r>
        <w:t>La evaluación y la estabilización ocurren en paralelo. Se revisan vía aérea, respiración y circulación; saturación, temperatura y glicemia; examen físico completo, hidratación, dolor y examen neurológico. Hemograma, electrolitos, función renal y hepática, orina, ECG y otros estudios se eligen según hipótesis. Neuroimagen se reserva para focalidad, trauma, anticoagulación, disminución inexplicada de conciencia u otros criterios. EEG se considera ante sospecha de estado no convulsivo; punción lumbar ante infección o inflamación del sistema nervioso central.</w:t>
      </w:r>
    </w:p>
    <w:p>
      <w:r>
        <w:t>Una bacteriuria asintomática no debe convertirse automáticamente en “infección urinaria causante” sin clínica y razonamiento. Del mismo modo, no se solicita TAC, EEG o toxicología de manera universal. El estudio dirigido se reevalúa cuando la evolución no coincide con la hipótesis inicial.</w:t>
      </w:r>
    </w:p>
    <w:p>
      <w:pPr>
        <w:pStyle w:val="Heading1"/>
      </w:pPr>
      <w:r>
        <w:t>Prevención y tratamiento causal</w:t>
      </w:r>
    </w:p>
    <w:p>
      <w:r>
        <w:t>El núcleo del tratamiento es corregir precipitantes: oxigenar, hidratar, tratar infección cuando corresponde, aliviar dolor, resolver retención o constipación y retirar medicamentos innecesarios. El dolor no tratado también precipita delirium; la respuesta no es negar analgesia, sino equilibrar eficacia y carga sedante.</w:t>
      </w:r>
    </w:p>
    <w:p>
      <w:r>
        <w:t>Los paquetes multicomponente son más eficaces que una intervención aislada. Incluyen orientación repetida, reloj y calendario visibles, luz diurna, sueño nocturno con menos interrupciones, movilización precoz, lentes y audífonos, hidratación, nutrición, presencia de rostros conocidos y comunicación simple. Se evitan sondas, sujeciones y cambios de habitación que no sean indispensables.</w:t>
      </w:r>
    </w:p>
    <w:p>
      <w:r>
        <w:t>La prevención comienza antes del episodio en personas vulnerables. El equipo puede revisar fármacos, mantener movilidad, asegurar ayudas sensoriales y proteger sueño. Estas medidas son parte del tratamiento médico, no “cuidados generales” secundarios.</w:t>
      </w:r>
    </w:p>
    <w:p>
      <w:pPr>
        <w:pStyle w:val="Heading1"/>
      </w:pPr>
      <w:r>
        <w:t>Agitación, contención y fármacos</w:t>
      </w:r>
    </w:p>
    <w:p>
      <w:r>
        <w:t>Ante agitación se busca peligro inmediato y causa corregible: hipoxia, dolor, vejiga llena, abstinencia, miedo o un entorno sobreestimulante. Se reduce estímulo, se habla con una persona a la vez y se permite acompañamiento. Toda medida restrictiva debe ser excepcional, proporcional, monitorizada y retirada lo antes posible conforme a normativa y protocolos vigentes.</w:t>
      </w:r>
    </w:p>
    <w:p>
      <w:r>
        <w:t>Los antipsicóticos no previenen de manera rutinaria el delirium ni han demostrado acortar consistentemente su duración. Pueden considerarse por el menor tiempo y dosis efectiva cuando una agitación o experiencia psicótica genera riesgo importante o impide una atención esencial, después de intervenciones ambientales. La elección exige considerar QTc, alteraciones electrolíticas, parkinsonismo, demencia con cuerpos de Lewy, edad, vía y comorbilidad.</w:t>
      </w:r>
    </w:p>
    <w:p>
      <w:r>
        <w:t>Las benzodiazepinas suelen empeorar sedación y desorganización. Sus excepciones incluyen abstinencia de alcohol o sedantes y otras indicaciones específicas; en abstinencia alcohólica también se evalúan tiamina, líquidos, electrolitos y complicaciones, sin atribuir todo a “delirium psiquiátrico”. La catatonía puede coexistir con delirium: si se sospecha por estupor, mutismo, negativismo, posturas o fenómenos motores, se solicita evaluación experta porque una benzodiazepina puede mejorar la catatonía y simultáneamente agravar el delirium. No se tratan alucinaciones aisladas si la persona está tranquila y segura sólo para normalizar el examen mental.</w:t>
      </w:r>
    </w:p>
    <w:p>
      <w:pPr>
        <w:pStyle w:val="Heading1"/>
      </w:pPr>
      <w:r>
        <w:t>Diferencial y seguimiento</w:t>
      </w:r>
    </w:p>
    <w:p>
      <w:r>
        <w:t>La demencia tiene curso crónico, aunque puede coexistir. La depresión produce enlentecimiento, pero no suele causar fluctuación horaria de atención y conciencia. En psicosis primaria la atención y conciencia global suelen estar más preservadas. Catatonía se reconoce por signos motores específicos y puede coexistir con delirium. Episodios sutiles de estado epiléptico no convulsivo justifican EEG según contexto.</w:t>
      </w:r>
    </w:p>
    <w:p>
      <w:r>
        <w:t>Después de mejorar se informa a la persona y familia, se registra el episodio y se revisan medicamentos y factores prevenibles. La cognición puede tardar en recuperarse; si persiste alterada, se reevalúa una vez resuelta la fase aguda. El alta debe comunicar el delirium a APS y a quienes continuarán cuidados.</w:t>
      </w:r>
    </w:p>
    <w:p>
      <w:r>
        <w:t>En Elena, el plan incluye analgesia prudente, hidratación, resolución de constipación, suspensión de zolpidem, ayudas auditivas, movilización y presencia familiar. La conducta nocturna no debe borrar el enlentecimiento diurno ni convertir la sedación en tratamiento.</w:t>
      </w:r>
    </w:p>
    <w:p>
      <w:pPr>
        <w:pStyle w:val="Heading1"/>
      </w:pPr>
      <w:r>
        <w:t>Errores frecuentes</w:t>
      </w:r>
    </w:p>
    <w:p>
      <w:pPr>
        <w:pStyle w:val="ListBullet"/>
      </w:pPr>
      <w:r>
        <w:t>Exigir agitación para diagnosticar delirium.</w:t>
      </w:r>
    </w:p>
    <w:p>
      <w:pPr>
        <w:pStyle w:val="ListBullet"/>
      </w:pPr>
      <w:r>
        <w:t>Confundir somnolencia con depresión o “falta de cooperación”.</w:t>
      </w:r>
    </w:p>
    <w:p>
      <w:pPr>
        <w:pStyle w:val="ListBullet"/>
      </w:pPr>
      <w:r>
        <w:t>Usar una escala como diagnóstico etiológico.</w:t>
      </w:r>
    </w:p>
    <w:p>
      <w:pPr>
        <w:pStyle w:val="ListBullet"/>
      </w:pPr>
      <w:r>
        <w:t>Atribuir todo caso a bacteriuria o solicitar imágenes universales.</w:t>
      </w:r>
    </w:p>
    <w:p>
      <w:pPr>
        <w:pStyle w:val="ListBullet"/>
      </w:pPr>
      <w:r>
        <w:t>Sedar sin buscar dolor, hipoxia, retención o abstinencia.</w:t>
      </w:r>
    </w:p>
    <w:p>
      <w:pPr>
        <w:pStyle w:val="ListBullet"/>
      </w:pPr>
      <w:r>
        <w:t>Dar alta sin documentar el episodio ni reevaluar cognición.</w:t>
      </w:r>
    </w:p>
    <w:p>
      <w:pPr>
        <w:pStyle w:val="Heading1"/>
      </w:pPr>
      <w:r>
        <w:t>Para recordar</w:t>
      </w:r>
    </w:p>
    <w:p>
      <w:pPr>
        <w:spacing w:after="60" w:line="288" w:lineRule="auto"/>
        <w:ind w:left="432" w:hanging="216"/>
        <w:shd w:fill="EAF6F3"/>
        <w:keepNext/>
        <w:keepLines/>
        <w:pBdr>
          <w:left w:val="single" w:sz="8" w:space="8" w:color="2A8C82"/>
        </w:pBdr>
      </w:pPr>
      <w:r>
        <w:t>1. Cambio agudo más inatención obliga a considerar delirium.</w:t>
      </w:r>
    </w:p>
    <w:p>
      <w:pPr>
        <w:spacing w:after="60" w:line="288" w:lineRule="auto"/>
        <w:ind w:left="432" w:hanging="216"/>
        <w:shd w:fill="EAF6F3"/>
        <w:keepNext/>
        <w:keepLines/>
        <w:pBdr>
          <w:left w:val="single" w:sz="8" w:space="8" w:color="2A8C82"/>
        </w:pBdr>
      </w:pPr>
      <w:r>
        <w:t>2. El subtipo hipoactivo es frecuente, grave y subdiagnosticado.</w:t>
      </w:r>
    </w:p>
    <w:p>
      <w:pPr>
        <w:spacing w:after="60" w:line="288" w:lineRule="auto"/>
        <w:ind w:left="432" w:hanging="216"/>
        <w:shd w:fill="EAF6F3"/>
        <w:keepNext/>
        <w:keepLines/>
        <w:pBdr>
          <w:left w:val="single" w:sz="8" w:space="8" w:color="2A8C82"/>
        </w:pBdr>
      </w:pPr>
      <w:r>
        <w:t>3. Busque varias causas y trátelas en paralelo.</w:t>
      </w:r>
    </w:p>
    <w:p>
      <w:pPr>
        <w:spacing w:after="60" w:line="288" w:lineRule="auto"/>
        <w:ind w:left="432" w:hanging="216"/>
        <w:shd w:fill="EAF6F3"/>
        <w:keepNext/>
        <w:keepLines/>
        <w:pBdr>
          <w:left w:val="single" w:sz="8" w:space="8" w:color="2A8C82"/>
        </w:pBdr>
      </w:pPr>
      <w:r>
        <w:t>4. El manejo central es causal, ambiental y multicomponente.</w:t>
      </w:r>
    </w:p>
    <w:p>
      <w:pPr>
        <w:spacing w:after="60" w:line="288" w:lineRule="auto"/>
        <w:ind w:left="432" w:hanging="216"/>
        <w:shd w:fill="EAF6F3"/>
        <w:keepLines/>
        <w:pBdr>
          <w:left w:val="single" w:sz="8" w:space="8" w:color="2A8C82"/>
        </w:pBdr>
      </w:pPr>
      <w:r>
        <w:t>5. Los antipsicóticos tienen un papel acotado; las benzodiazepinas no son rutinarias.</w:t>
      </w:r>
    </w:p>
    <w:p>
      <w:pPr>
        <w:pStyle w:val="Heading1"/>
      </w:pPr>
      <w:r>
        <w:t>Bibliografía esencial</w:t>
      </w:r>
    </w:p>
    <w:p>
      <w:pPr>
        <w:pStyle w:val="Bibliography"/>
      </w:pPr>
      <w:r>
        <w:t xml:space="preserve">1. National Institute for Health and Care Excellence. </w:t>
      </w:r>
      <w:r>
        <w:rPr>
          <w:i/>
        </w:rPr>
        <w:t>Delirium: Prevention, Diagnosis and Management in Hospital and Long-Term Care (CG103)</w:t>
      </w:r>
      <w:r>
        <w:t xml:space="preserve">. NICE; 2010, updated 2023. </w:t>
      </w:r>
      <w:hyperlink r:id="rId19">
        <w:r>
          <w:rPr>
            <w:color w:val="246B8E"/>
            <w:u w:val="single"/>
          </w:rPr>
          <w:t>Guía</w:t>
        </w:r>
      </w:hyperlink>
      <w:r>
        <w:t>.</w:t>
      </w:r>
    </w:p>
    <w:p>
      <w:pPr>
        <w:pStyle w:val="Bibliography"/>
      </w:pPr>
      <w:r>
        <w:t xml:space="preserve">2. World Health Organization. </w:t>
      </w:r>
      <w:r>
        <w:rPr>
          <w:i/>
        </w:rPr>
        <w:t>Clinical Descriptions and Diagnostic Requirements for ICD-11 Mental, Behavioural and Neurodevelopmental Disorders</w:t>
      </w:r>
      <w:r>
        <w:t xml:space="preserve">. WHO; 2024. </w:t>
      </w:r>
      <w:hyperlink r:id="rId116">
        <w:r>
          <w:rPr>
            <w:color w:val="246B8E"/>
            <w:u w:val="single"/>
          </w:rPr>
          <w:t>Documento</w:t>
        </w:r>
      </w:hyperlink>
      <w:r>
        <w:t>.</w:t>
      </w:r>
    </w:p>
    <w:p>
      <w:pPr>
        <w:pStyle w:val="Bibliography"/>
      </w:pPr>
      <w:r>
        <w:t xml:space="preserve">3. Scottish Intercollegiate Guidelines Network. </w:t>
      </w:r>
      <w:r>
        <w:rPr>
          <w:i/>
        </w:rPr>
        <w:t>Risk Reduction and Management of Delirium (SIGN 157)</w:t>
      </w:r>
      <w:r>
        <w:t>. SIGN; 2019.</w:t>
      </w:r>
    </w:p>
    <w:p>
      <w:pPr>
        <w:pStyle w:val="Bibliography"/>
      </w:pPr>
      <w:r>
        <w:t xml:space="preserve">4. Tieges Z, MacLullich AMJ, Anand A, et al. Diagnostic accuracy of the 4AT for delirium detection: systematic review and meta-analysis. </w:t>
      </w:r>
      <w:r>
        <w:rPr>
          <w:i/>
        </w:rPr>
        <w:t>Age and Ageing</w:t>
      </w:r>
      <w:r>
        <w:t>. 2021;50:733-743.</w:t>
      </w:r>
    </w:p>
    <w:p>
      <w:pPr>
        <w:pStyle w:val="Bibliography"/>
      </w:pPr>
      <w:r>
        <w:t xml:space="preserve">5. Wilson JE, Mart MF, Cunningham C, et al. Delirium. </w:t>
      </w:r>
      <w:r>
        <w:rPr>
          <w:i/>
        </w:rPr>
        <w:t>Nature Reviews Disease Primers</w:t>
      </w:r>
      <w:r>
        <w:t>. 2020;6:90.</w:t>
      </w:r>
    </w:p>
    <w:p>
      <w:pPr>
        <w:pStyle w:val="Bibliography"/>
      </w:pPr>
      <w:r>
        <w:t xml:space="preserve">6. Examen Único Nacional de Conocimientos de Medicina. </w:t>
      </w:r>
      <w:r>
        <w:rPr>
          <w:i/>
        </w:rPr>
        <w:t>Perfil de Conocimientos EUNACOM, versión 3.0</w:t>
      </w:r>
      <w:r>
        <w:t xml:space="preserve">. ASOFAMECH; junio de 2026. Aplicable desde diciembre de 2026. </w:t>
      </w:r>
      <w:hyperlink r:id="rId122">
        <w:r>
          <w:rPr>
            <w:color w:val="246B8E"/>
            <w:u w:val="single"/>
          </w:rPr>
          <w:t>Perfil oficial</w:t>
        </w:r>
      </w:hyperlink>
      <w:r>
        <w:t>.</w:t>
      </w:r>
    </w:p>
    <w:p>
      <w:r>
        <w:br w:type="page"/>
      </w:r>
    </w:p>
    <w:p>
      <w:pPr>
        <w:spacing w:after="480"/>
      </w:pPr>
      <w:r>
        <w:rPr>
          <w:rFonts w:ascii="Calibri" w:hAnsi="Calibri"/>
          <w:b/>
          <w:color w:val="2A8C82"/>
          <w:sz w:val="20"/>
        </w:rPr>
        <w:t>CAPÍTULO 42 · MATERIAL PARA ESTUDIANTES</w:t>
      </w:r>
    </w:p>
    <w:tbl>
      <w:tblPr>
        <w:tblW w:type="auto" w:w="0"/>
        <w:jc w:val="left"/>
        <w:tblLayout w:type="fixed"/>
        <w:tblLook w:firstColumn="1" w:firstRow="1" w:lastColumn="0" w:lastRow="0" w:noHBand="0" w:noVBand="1" w:val="04A0"/>
      </w:tblPr>
      <w:tblGrid>
        <w:gridCol w:w="9648"/>
      </w:tblGrid>
      <w:tr>
        <w:trPr>
          <w:tblHeader w:val="true"/>
        </w:trPr>
        <w:tc>
          <w:tcPr>
            <w:tcW w:type="dxa" w:w="9072"/>
            <w:shd w:fill="173A5E"/>
            <w:tcMar>
              <w:top w:w="120" w:type="dxa"/>
              <w:start w:w="220" w:type="dxa"/>
              <w:bottom w:w="120" w:type="dxa"/>
              <w:end w:w="220" w:type="dxa"/>
            </w:tcMar>
          </w:tcPr>
          <w:p>
            <w:pPr>
              <w:spacing w:after="0"/>
            </w:pPr>
            <w:r>
              <w:rPr>
                <w:rFonts w:ascii="Calibri" w:hAnsi="Calibri"/>
                <w:b/>
                <w:color w:val="FFFFFF"/>
                <w:sz w:val="19"/>
              </w:rPr>
              <w:t>MÓDULO II · PATOLOGÍAS, GES Y TRATAMIENTOS</w:t>
            </w:r>
          </w:p>
        </w:tc>
      </w:tr>
    </w:tbl>
    <w:p>
      <w:pPr>
        <w:pStyle w:val="Title"/>
        <w:spacing w:before="520" w:after="360"/>
        <w:outlineLvl w:val="0"/>
      </w:pPr>
      <w:bookmarkStart w:id="1042" w:name="chapter_42"/>
      <w:r>
        <w:t>Trastornos neurocognitivos y demencias: evaluación, tratamiento y GES 85</w:t>
      </w:r>
      <w:bookmarkEnd w:id="1042"/>
    </w:p>
    <w:p>
      <w:pPr>
        <w:spacing w:after="80"/>
      </w:pPr>
      <w:r>
        <w:rPr>
          <w:rFonts w:ascii="Calibri" w:hAnsi="Calibri"/>
          <w:b/>
          <w:color w:val="246B8E"/>
          <w:sz w:val="26"/>
        </w:rPr>
        <w:t>Programa de Psiquiatría para internos de Medicina</w:t>
      </w:r>
    </w:p>
    <w:p>
      <w:r>
        <w:rPr>
          <w:rFonts w:ascii="Calibri" w:hAnsi="Calibri"/>
          <w:color w:val="6B7280"/>
          <w:sz w:val="22"/>
        </w:rPr>
        <w:t>Lectura complementaria · Chile · Versión final para revisión humana · 2026</w:t>
      </w:r>
    </w:p>
    <w:p/>
    <w:p/>
    <w:p/>
    <w:p/>
    <w:p/>
    <w:tbl>
      <w:tblPr>
        <w:tblW w:type="auto" w:w="0"/>
        <w:jc w:val="left"/>
        <w:tblLayout w:type="fixed"/>
        <w:tblLook w:firstColumn="1" w:firstRow="1" w:lastColumn="0" w:lastRow="0" w:noHBand="0" w:noVBand="1" w:val="04A0"/>
      </w:tblPr>
      <w:tblGrid>
        <w:gridCol w:w="9648"/>
      </w:tblGrid>
      <w:tr>
        <w:trPr>
          <w:tblHeader w:val="true"/>
        </w:trPr>
        <w:tc>
          <w:tcPr>
            <w:tcW w:type="dxa" w:w="9648"/>
            <w:shd w:fill="F3F5F6"/>
            <w:tcBorders>
              <w:start w:val="single" w:sz="18" w:color="2A8C82"/>
            </w:tcBorders>
            <w:tcMar>
              <w:top w:w="160" w:type="dxa"/>
              <w:start w:w="220" w:type="dxa"/>
              <w:bottom w:w="160" w:type="dxa"/>
              <w:end w:w="220" w:type="dxa"/>
            </w:tcMar>
          </w:tcPr>
          <w:p>
            <w:pPr>
              <w:spacing w:after="0"/>
            </w:pPr>
            <w:r>
              <w:rPr>
                <w:rFonts w:ascii="Calibri" w:hAnsi="Calibri"/>
                <w:i/>
                <w:color w:val="6B7280"/>
                <w:sz w:val="18"/>
              </w:rPr>
              <w:t>Versión docente final para revisión humana. Material propuesto y contextualizado a Chile; no corresponde a un programa oficial de la Pontificia Universidad Católica de Chile ni sustituye protocolos locales, supervisión clínica o evaluación especializada. Fuentes revisadas al 15 de agosto de 2026.</w:t>
            </w:r>
          </w:p>
        </w:tc>
      </w:tr>
    </w:tbl>
    <w:p>
      <w:r>
        <w:br w:type="page"/>
      </w:r>
    </w:p>
    <w:tbl>
      <w:tblPr>
        <w:tblW w:type="auto" w:w="0"/>
        <w:jc w:val="center"/>
        <w:tblLayout w:type="autofit"/>
        <w:tblLook w:firstColumn="1" w:firstRow="1" w:lastColumn="0" w:lastRow="0" w:noHBand="0" w:noVBand="1" w:val="04A0"/>
      </w:tblPr>
      <w:tblGrid>
        <w:gridCol w:w="9648"/>
      </w:tblGrid>
      <w:tr>
        <w:trPr>
          <w:tblHeader w:val="true"/>
        </w:trPr>
        <w:tc>
          <w:tcPr>
            <w:tcW w:type="dxa" w:w="9648"/>
            <w:vAlign w:val="center"/>
            <w:shd w:fill="EAF3F7"/>
            <w:tcBorders>
              <w:start w:val="single" w:sz="14" w:color="2A8C82"/>
            </w:tcBorders>
            <w:tcMar>
              <w:top w:w="130" w:type="dxa"/>
              <w:start w:w="190" w:type="dxa"/>
              <w:bottom w:w="130" w:type="dxa"/>
              <w:end w:w="190" w:type="dxa"/>
            </w:tcMar>
          </w:tcPr>
          <w:p>
            <w:pPr>
              <w:spacing w:after="0"/>
            </w:pPr>
            <w:r>
              <w:rPr>
                <w:b/>
                <w:color w:val="173A5E"/>
              </w:rPr>
              <w:t xml:space="preserve">PREGUNTA CLÍNICA  </w:t>
            </w:r>
            <w:r>
              <w:t>¿Cómo transformar una queja de memoria en una evaluación de cognición, función, etiología, seguridad y apoyo?</w:t>
            </w:r>
          </w:p>
        </w:tc>
      </w:tr>
    </w:tbl>
    <w:p>
      <w:pPr>
        <w:spacing w:after="0"/>
      </w:pPr>
    </w:p>
    <w:tbl>
      <w:tblPr>
        <w:tblW w:type="auto" w:w="0"/>
        <w:jc w:val="center"/>
        <w:tblLayout w:type="autofit"/>
        <w:tblLook w:firstColumn="1" w:firstRow="1" w:lastColumn="0" w:lastRow="0" w:noHBand="0" w:noVBand="1" w:val="04A0"/>
      </w:tblPr>
      <w:tblGrid>
        <w:gridCol w:w="9648"/>
      </w:tblGrid>
      <w:tr>
        <w:trPr>
          <w:tblHeader w:val="true"/>
        </w:trPr>
        <w:tc>
          <w:tcPr>
            <w:tcW w:type="dxa" w:w="9648"/>
            <w:vAlign w:val="center"/>
            <w:shd w:fill="EAF6F3"/>
            <w:tcBorders>
              <w:start w:val="single" w:sz="14" w:color="2A8C82"/>
            </w:tcBorders>
            <w:tcMar>
              <w:top w:w="130" w:type="dxa"/>
              <w:start w:w="190" w:type="dxa"/>
              <w:bottom w:w="130" w:type="dxa"/>
              <w:end w:w="190" w:type="dxa"/>
            </w:tcMar>
          </w:tcPr>
          <w:p>
            <w:pPr>
              <w:spacing w:after="0"/>
            </w:pPr>
            <w:r>
              <w:rPr>
                <w:b/>
                <w:color w:val="173A5E"/>
              </w:rPr>
              <w:t xml:space="preserve">IDEA CENTRAL  </w:t>
            </w:r>
            <w:r>
              <w:t>una demencia no equivale a “puntaje bajo”. Requiere un declive adquirido que interfiere con la independencia y una formulación etiológica razonada; la prueba breve sólo es una pieza.</w:t>
            </w:r>
          </w:p>
        </w:tc>
      </w:tr>
    </w:tbl>
    <w:p>
      <w:pPr>
        <w:spacing w:after="0"/>
      </w:pPr>
    </w:p>
    <w:p>
      <w:pPr>
        <w:pStyle w:val="Heading1"/>
      </w:pPr>
      <w:r>
        <w:t>Por qué importa</w:t>
      </w:r>
    </w:p>
    <w:p>
      <w:r>
        <w:t>Las quejas cognitivas son frecuentes y sus causas se superponen. Hipoacusia, depresión, apnea, anticolinérgicos y delirium pueden empeorar el rendimiento, pero también coexistir con una enfermedad neurodegenerativa. Descartar demencia por un MMSE aparentemente conservado o diagnosticarla por un puntaje bajo son errores igualmente graves.</w:t>
      </w:r>
    </w:p>
    <w:p>
      <w:r>
        <w:t>En Chile, GES 85 organiza el acceso para enfermedad de Alzheimer y otras demencias, y el Plan Nacional de Demencia 2025–2035 —publicado por MINSAL en 2026— amplía la mirada hacia prevención, diagnóstico, tratamiento, cuidados, participación social e intersectorialidad. El médico debe integrar cognición, actividades cotidianas, seguridad, autonomía y necesidades de quienes cuidan.</w:t>
      </w:r>
    </w:p>
    <w:p>
      <w:pPr>
        <w:pStyle w:val="Heading1"/>
      </w:pPr>
      <w:r>
        <w:t>Objetivos de aprendizaje</w:t>
      </w:r>
    </w:p>
    <w:p>
      <w:pPr>
        <w:keepNext/>
      </w:pPr>
      <w:r>
        <w:t>Al finalizar esta lectura, el estudiante podrá:</w:t>
      </w:r>
    </w:p>
    <w:p>
      <w:pPr>
        <w:spacing w:after="60" w:line="288" w:lineRule="auto"/>
        <w:ind w:left="432" w:hanging="216"/>
      </w:pPr>
      <w:r>
        <w:t>1. Diferenciar envejecimiento, queja subjetiva y trastorno neurocognitivo leve o mayor.</w:t>
      </w:r>
    </w:p>
    <w:p>
      <w:pPr>
        <w:spacing w:after="60" w:line="288" w:lineRule="auto"/>
        <w:ind w:left="432" w:hanging="216"/>
      </w:pPr>
      <w:r>
        <w:t>2. Evaluar dominios cognitivos y actividades instrumentales y básicas.</w:t>
      </w:r>
    </w:p>
    <w:p>
      <w:pPr>
        <w:spacing w:after="60" w:line="288" w:lineRule="auto"/>
        <w:ind w:left="432" w:hanging="216"/>
      </w:pPr>
      <w:r>
        <w:t>3. Administrar e interpretar MMSE o MoCA en contexto.</w:t>
      </w:r>
    </w:p>
    <w:p>
      <w:pPr>
        <w:spacing w:after="60" w:line="288" w:lineRule="auto"/>
        <w:ind w:left="432" w:hanging="216"/>
      </w:pPr>
      <w:r>
        <w:t>4. Reconocer perfiles etiológicos frecuentes y presentaciones atípicas.</w:t>
      </w:r>
    </w:p>
    <w:p>
      <w:pPr>
        <w:spacing w:after="60" w:line="288" w:lineRule="auto"/>
        <w:ind w:left="432" w:hanging="216"/>
      </w:pPr>
      <w:r>
        <w:t>5. Solicitar un estudio dirigido y corregir factores agravantes.</w:t>
      </w:r>
    </w:p>
    <w:p>
      <w:pPr>
        <w:spacing w:after="60" w:line="288" w:lineRule="auto"/>
        <w:ind w:left="432" w:hanging="216"/>
      </w:pPr>
      <w:r>
        <w:t>6. Manejar síntomas conductuales con prioridad no farmacológica.</w:t>
      </w:r>
    </w:p>
    <w:p>
      <w:pPr>
        <w:spacing w:after="60" w:line="288" w:lineRule="auto"/>
        <w:ind w:left="432" w:hanging="216"/>
      </w:pPr>
      <w:r>
        <w:t>7. Explicar seguridad, capacidad, apoyo y garantías de GES 85.</w:t>
      </w:r>
    </w:p>
    <w:p>
      <w:pPr>
        <w:pStyle w:val="Heading1"/>
      </w:pPr>
      <w:r>
        <w:t>Caso clínico</w:t>
      </w:r>
    </w:p>
    <w:p>
      <w:pPr>
        <w:shd w:fill="EAF3F7"/>
        <w:keepNext/>
        <w:keepLines/>
        <w:pBdr>
          <w:left w:val="single" w:sz="8" w:space="8" w:color="246B8E"/>
        </w:pBdr>
        <w:ind w:left="173" w:right="86"/>
      </w:pPr>
      <w:r>
        <w:t>Óscar, de 69 años, repite preguntas, se pierde al conducir y ha cometido errores bancarios. Obtiene 25/30 en MMSE, por lo que su familia cree que “aprobó”. Tiene hipoacusia, apnea, diabetes y utiliza amitriptilina. Su esposa relata fluctuaciones cognitivas y sueños actuados; al examen presenta bradicinesia y rigidez leve.</w:t>
      </w:r>
    </w:p>
    <w:p>
      <w:pPr>
        <w:shd w:fill="EAF3F7"/>
        <w:keepLines/>
        <w:pBdr>
          <w:left w:val="single" w:sz="8" w:space="8" w:color="246B8E"/>
        </w:pBdr>
        <w:ind w:left="173" w:right="86"/>
      </w:pPr>
      <w:r>
        <w:t>El puntaje no responde si Óscar conserva independencia ni cuál es la etiología. La combinación de fluctuaciones, conducta de sueño REM y parkinsonismo obliga a considerar demencia con cuerpos de Lewy, sin omitir causas mixtas ni factores corregibles.</w:t>
      </w:r>
    </w:p>
    <w:p>
      <w:pPr>
        <w:pStyle w:val="Heading1"/>
      </w:pPr>
      <w:r>
        <w:t>De la queja al trastorno neurocognitivo</w:t>
      </w:r>
    </w:p>
    <w:p>
      <w:r>
        <w:t>La evaluación reconstruye el cambio respecto del nivel previo: inicio, velocidad, dominios afectados y ejemplos observables. Se exploran atención, memoria, lenguaje, funciones ejecutivas, habilidades visuoespaciales, praxis, reconocimiento y cognición social. “Olvida cosas” debe traducirse: ¿repite preguntas, pierde objetos, olvida conversaciones, no aprende rutas nuevas o falla al planificar?</w:t>
      </w:r>
    </w:p>
    <w:p>
      <w:r>
        <w:t>La función determina la frontera clínica. Las actividades instrumentales incluyen finanzas, medicamentos, transporte, compras, cocina, tecnología y organización del hogar. Las básicas abarcan higiene, vestuario, alimentación y continencia. En un trastorno neurocognitivo leve la independencia se preserva, aunque con mayor esfuerzo, lentitud o estrategias. En uno mayor el declive interfiere con ella. El apoyo familiar puede ocultar pérdida de autonomía: si otra persona asumió silenciosamente las cuentas, no puede concluirse que la función está intacta.</w:t>
      </w:r>
    </w:p>
    <w:p>
      <w:r>
        <w:t>La heteroanamnesis es central, con respeto por confidencialidad y participación de la persona. Siempre se considera delirium cuando el cambio es agudo o fluctuante, además de depresión, sueño, sustancias, déficit sensorial y medicamentos.</w:t>
      </w:r>
    </w:p>
    <w:p>
      <w:pPr>
        <w:pStyle w:val="Heading1"/>
      </w:pPr>
      <w:r>
        <w:t>MMSE, MoCA y evaluación ampliada</w:t>
      </w:r>
    </w:p>
    <w:p>
      <w:r>
        <w:t>MMSE y MoCA son herramientas de pesquisa y seguimiento, no pruebas etiológicas. El MMSE enfatiza orientación, memoria y lenguaje y puede omitir deterioro ejecutivo temprano. El MoCA exige más funciones ejecutivas y visuoespaciales y puede ser más sensible a alteraciones leves, pero también depende de escolaridad, idioma, cultura, audición, visión y estado emocional.</w:t>
      </w:r>
    </w:p>
    <w:p>
      <w:r>
        <w:t>La administración debe respetar las instrucciones de la versión validada y sus condiciones de uso. No conviene reconstruir ítems de memoria, dar pistas no permitidas o cambiar puntuación de manera improvisada. Se registra instrumento, versión, idioma, ajustes autorizados y condiciones. Tan importante como el total es observar estrategia, errores, fatiga, impulsividad y conciencia de dificultad.</w:t>
      </w:r>
    </w:p>
    <w:p>
      <w:r>
        <w:t>Ningún punto de corte funciona igual en todos los contextos. Un resultado alto no neutraliza una pérdida funcional documentada; uno bajo en una persona con baja escolaridad o hipoacusia no demuestra demencia. La neuropsicología se indica cuando el cuadro es leve, atípico, de inicio joven, existe discrepancia entre relato y pesquisa o la definición del perfil cambiará decisiones.</w:t>
      </w:r>
    </w:p>
    <w:p>
      <w:pPr>
        <w:pStyle w:val="Heading1"/>
      </w:pPr>
      <w:r>
        <w:t>Perfiles etiológicos</w:t>
      </w:r>
    </w:p>
    <w:p>
      <w:r>
        <w:t>La enfermedad de Alzheimer típica comienza con memoria episódica y progresa gradualmente, aunque existen variantes de lenguaje, visuoespaciales o ejecutivas. La demencia vascular se relaciona con enfermedad cerebrovascular y suele comprometer velocidad y funciones ejecutivas; el curso no siempre es escalonado y las etiologías mixtas son comunes.</w:t>
      </w:r>
    </w:p>
    <w:p>
      <w:r>
        <w:t>En demencia con cuerpos de Lewy destacan fluctuaciones, alucinaciones visuales bien formadas, parkinsonismo y trastorno conductual del sueño REM. La sensibilidad a antipsicóticos es una advertencia crucial. Las degeneraciones frontotemporales pueden comenzar con cambios de conducta, empatía, compulsividad, alimentación o lenguaje, mientras la memoria parece relativamente conservada.</w:t>
      </w:r>
    </w:p>
    <w:p>
      <w:r>
        <w:t>Otras causas incluyen enfermedad de Parkinson, alcohol, trauma, VIH, hidrocefalia y etiologías autoinmunes, priónicas o genéticas según edad y contexto. Inicio rápido, focalidad, convulsiones, marcha tempranamente alterada o síntomas sistémicos amplían el estudio y aceleran derivación.</w:t>
      </w:r>
    </w:p>
    <w:p>
      <w:pPr>
        <w:pStyle w:val="Heading1"/>
      </w:pPr>
      <w:r>
        <w:t>Estudio etiológico y factores modificables</w:t>
      </w:r>
    </w:p>
    <w:p>
      <w:r>
        <w:t>Se realiza examen neurológico, cardiovascular, marcha, visión y audición. Un estudio basal habitual puede incluir hemograma, electrolitos y funciones renal, hepática y tiroidea, vitamina B12 y otros análisis según riesgo. Neuroimagen estructural ayuda a identificar lesiones, carga vascular y patrones, pero rara vez diagnostica sola.</w:t>
      </w:r>
    </w:p>
    <w:p>
      <w:r>
        <w:t>Se revisan carga anticolinérgica, benzodiazepinas y sedantes, consumo de alcohol, apnea, depresión, dolor y enfermedades vasculares. Corregirlos puede mejorar rendimiento y seguridad, aun si no explican todo. “Causa reversible” no debe prometer recuperación completa.</w:t>
      </w:r>
    </w:p>
    <w:p>
      <w:r>
        <w:t>Biomarcadores de Alzheimer en líquido cefalorraquídeo, PET o sangre evolucionan con rapidez. Deben solicitarse cuando la pregunta sea definida, el resultado cambie diagnóstico o manejo y exista interpretación especializada. Lo mismo vale para terapias dirigidas a amiloide: requieren diagnóstico biológico, selección estricta, evaluación de riesgo y monitorización; su disponibilidad y regulación local deben verificarse al momento de indicar. No son tratamiento general de “demencia”.</w:t>
      </w:r>
    </w:p>
    <w:p>
      <w:pPr>
        <w:pStyle w:val="Heading1"/>
      </w:pPr>
      <w:r>
        <w:t>Tratamiento y síntomas conductuales</w:t>
      </w:r>
    </w:p>
    <w:p>
      <w:r>
        <w:t>El plan incluye educación, actividad física y social, control vascular, apoyo auditivo, sueño, estructura cotidiana y rehabilitación. Los inhibidores de acetilcolinesterasa se utilizan en Alzheimer y en algunas demencias con cuerpos de Lewy o Parkinson según indicación. Memantina puede emplearse en etapas moderadas o graves seleccionadas. Son tratamientos sintomáticos: no debe prometerse detener la enfermedad.</w:t>
      </w:r>
    </w:p>
    <w:p>
      <w:r>
        <w:t>Agitación, apatía, alteración de sueño, psicosis o deambulación pueden comunicar dolor, infección, constipación, hambre, sobreestimulación, soledad o una tarea demasiado compleja. Se define la conducta y su contexto, se trata la necesidad y se apoya a quien cuida. Las intervenciones ambientales preceden a un psicofármaco.</w:t>
      </w:r>
    </w:p>
    <w:p>
      <w:r>
        <w:t>Los antipsicóticos se reservan para riesgo de daño o agitación, alucinaciones o delirios que causen sufrimiento intenso cuando medidas más seguras no bastan. Se discuten aumento de mortalidad y eventos cerebrovasculares, se usa la menor dosis durante el menor tiempo, se reevalúa al menos cada seis semanas y se retira si no hay beneficio claro. Valproato no se indica para agitación en demencia salvo que exista otra indicación. En cuerpos de Lewy, antagonistas dopaminérgicos pueden causar deterioro motor o una reacción grave de sensibilidad; se requiere especial cautela y evaluación experta.</w:t>
      </w:r>
    </w:p>
    <w:p>
      <w:pPr>
        <w:pStyle w:val="Heading1"/>
      </w:pPr>
      <w:r>
        <w:t>Seguridad, capacidad y apoyo</w:t>
      </w:r>
    </w:p>
    <w:p>
      <w:r>
        <w:t>La evaluación aborda conducción, cocina, armas, finanzas, estafas, adherencia y riesgo de extravío. Una restricción debe ser proporcional y buscar alternativas que preserven autonomía. El diagnóstico no elimina globalmente la capacidad: ésta se determina para una decisión concreta, comprobando comprensión, apreciación, razonamiento y posibilidad de expresar elección, con apoyos.</w:t>
      </w:r>
    </w:p>
    <w:p>
      <w:r>
        <w:t>La planificación anticipada se inicia mientras la persona puede participar: preferencias, representante, vivienda, finanzas, cuidados futuros y crisis. También se evalúan carga, depresión, salud física y riesgo de maltrato del cuidador. Apoyar a quien cuida es tratamiento para ambos, pero no sustituye la voz del paciente.</w:t>
      </w:r>
    </w:p>
    <w:p>
      <w:pPr>
        <w:pStyle w:val="Heading1"/>
      </w:pPr>
      <w:r>
        <w:t>GES 85 en Chile</w:t>
      </w:r>
    </w:p>
    <w:p>
      <w:r>
        <w:t>GES 85 cubre enfermedad de Alzheimer y otras demencias. El decreto y el portal oficial formulan el acceso para “todo beneficiario”, sin establecer en este problema una restricción de edad. Sus hitos de oportunidad son: confirmación diagnóstica dentro de 60 días desde la sospecha; confirmación diagnóstica diferencial dentro de 180 días desde la indicación médica; e inicio de tratamiento dentro de 60 días desde la confirmación. La documentación debe activar la ruta correspondiente en la red asignada de FONASA o ISAPRE.</w:t>
      </w:r>
    </w:p>
    <w:p>
      <w:r>
        <w:t>Estos plazos son máximos de garantía, no tiempos clínicos para esperar. Delirium, riesgo suicida, abandono, violencia o incapacidad de autocuidado se atienden inmediatamente. GES garantiza acceso y oportunidad, pero no convierte una pesquisa breve en confirmación ni obliga a una intervención contraindicada.</w:t>
      </w:r>
    </w:p>
    <w:p>
      <w:r>
        <w:t>GES y Plan Nacional no son sinónimos. GES define garantías exigibles para un problema de salud; el Plan 2025–2035 orienta una política pública más amplia y cuenta con un plan de acción. Sus cinco ejes son prevención; proceso diagnóstico, tratamiento y cuidados; sensibilización y participación social; intersectorialidad; y monitoreo y evaluación. Para el clínico, esto refuerza que entregar un fármaco no agota el cuidado: deben formularse apoyos funcionales, continuidad, participación de la persona y necesidades de la red cuidadora.</w:t>
      </w:r>
    </w:p>
    <w:p>
      <w:r>
        <w:t>En Óscar se revisan amitriptilina, audición y apnea mientras continúa el estudio etiológico; se aborda conducción desde la primera consulta. Su MMSE no “aprueba” seguridad. La formulación conserva la posibilidad de patología mixta.</w:t>
      </w:r>
    </w:p>
    <w:p>
      <w:pPr>
        <w:pStyle w:val="Heading1"/>
      </w:pPr>
      <w:r>
        <w:t>Errores frecuentes</w:t>
      </w:r>
    </w:p>
    <w:p>
      <w:pPr>
        <w:pStyle w:val="ListBullet"/>
      </w:pPr>
      <w:r>
        <w:t>Diagnosticar o descartar demencia por un puntaje aislado.</w:t>
      </w:r>
    </w:p>
    <w:p>
      <w:pPr>
        <w:pStyle w:val="ListBullet"/>
      </w:pPr>
      <w:r>
        <w:t>Ignorar escolaridad, idioma, visión o audición.</w:t>
      </w:r>
    </w:p>
    <w:p>
      <w:pPr>
        <w:pStyle w:val="ListBullet"/>
      </w:pPr>
      <w:r>
        <w:t>Llamar “pseudodemencia” a toda depresión con queja cognitiva.</w:t>
      </w:r>
    </w:p>
    <w:p>
      <w:pPr>
        <w:pStyle w:val="ListBullet"/>
      </w:pPr>
      <w:r>
        <w:t>Pedir biomarcadores sin una pregunta que modifique decisiones.</w:t>
      </w:r>
    </w:p>
    <w:p>
      <w:pPr>
        <w:pStyle w:val="ListBullet"/>
      </w:pPr>
      <w:r>
        <w:t>Tratar toda agitación con antipsicóticos.</w:t>
      </w:r>
    </w:p>
    <w:p>
      <w:pPr>
        <w:pStyle w:val="ListBullet"/>
      </w:pPr>
      <w:r>
        <w:t>Confundir demencia con incapacidad global o esperar GES ante urgencia.</w:t>
      </w:r>
    </w:p>
    <w:p>
      <w:pPr>
        <w:pStyle w:val="Heading1"/>
      </w:pPr>
      <w:r>
        <w:t>Para recordar</w:t>
      </w:r>
    </w:p>
    <w:p>
      <w:pPr>
        <w:spacing w:after="60" w:line="288" w:lineRule="auto"/>
        <w:ind w:left="432" w:hanging="216"/>
        <w:shd w:fill="EAF6F3"/>
        <w:keepNext/>
        <w:keepLines/>
        <w:pBdr>
          <w:left w:val="single" w:sz="8" w:space="8" w:color="2A8C82"/>
        </w:pBdr>
      </w:pPr>
      <w:r>
        <w:t>1. Cognición y función deben evaluarse juntas y longitudinalmente.</w:t>
      </w:r>
    </w:p>
    <w:p>
      <w:pPr>
        <w:spacing w:after="60" w:line="288" w:lineRule="auto"/>
        <w:ind w:left="432" w:hanging="216"/>
        <w:shd w:fill="EAF6F3"/>
        <w:keepNext/>
        <w:keepLines/>
        <w:pBdr>
          <w:left w:val="single" w:sz="8" w:space="8" w:color="2A8C82"/>
        </w:pBdr>
      </w:pPr>
      <w:r>
        <w:t>2. Una prueba breve pesquisa; no entrega etiología ni seguridad.</w:t>
      </w:r>
    </w:p>
    <w:p>
      <w:pPr>
        <w:spacing w:after="60" w:line="288" w:lineRule="auto"/>
        <w:ind w:left="432" w:hanging="216"/>
        <w:shd w:fill="EAF6F3"/>
        <w:keepNext/>
        <w:keepLines/>
        <w:pBdr>
          <w:left w:val="single" w:sz="8" w:space="8" w:color="2A8C82"/>
        </w:pBdr>
      </w:pPr>
      <w:r>
        <w:t>3. Corrija factores modificables sin prometer que explican todo.</w:t>
      </w:r>
    </w:p>
    <w:p>
      <w:pPr>
        <w:spacing w:after="60" w:line="288" w:lineRule="auto"/>
        <w:ind w:left="432" w:hanging="216"/>
        <w:shd w:fill="EAF6F3"/>
        <w:keepNext/>
        <w:keepLines/>
        <w:pBdr>
          <w:left w:val="single" w:sz="8" w:space="8" w:color="2A8C82"/>
        </w:pBdr>
      </w:pPr>
      <w:r>
        <w:t>4. Los síntomas conductuales suelen expresar necesidades o contexto.</w:t>
      </w:r>
    </w:p>
    <w:p>
      <w:pPr>
        <w:spacing w:after="60" w:line="288" w:lineRule="auto"/>
        <w:ind w:left="432" w:hanging="216"/>
        <w:shd w:fill="EAF6F3"/>
        <w:keepLines/>
        <w:pBdr>
          <w:left w:val="single" w:sz="8" w:space="8" w:color="2A8C82"/>
        </w:pBdr>
      </w:pPr>
      <w:r>
        <w:t>5. GES 85 asegura una ruta y plazos; no reemplaza el juicio clínico.</w:t>
      </w:r>
    </w:p>
    <w:p>
      <w:pPr>
        <w:pStyle w:val="Heading1"/>
      </w:pPr>
      <w:r>
        <w:t>Bibliografía esencial</w:t>
      </w:r>
    </w:p>
    <w:p>
      <w:pPr>
        <w:pStyle w:val="Bibliography"/>
      </w:pPr>
      <w:r>
        <w:t xml:space="preserve">1. Ministerio de Salud de Chile. </w:t>
      </w:r>
      <w:r>
        <w:rPr>
          <w:i/>
        </w:rPr>
        <w:t>GES 85: Enfermedad de Alzheimer y otras demencias</w:t>
      </w:r>
      <w:r>
        <w:t xml:space="preserve">. Portal AUGE/GES; consultado en 2026. </w:t>
      </w:r>
      <w:hyperlink r:id="rId123">
        <w:r>
          <w:rPr>
            <w:color w:val="246B8E"/>
            <w:u w:val="single"/>
          </w:rPr>
          <w:t>Ficha oficial</w:t>
        </w:r>
      </w:hyperlink>
      <w:r>
        <w:t>.</w:t>
      </w:r>
    </w:p>
    <w:p>
      <w:pPr>
        <w:pStyle w:val="Bibliography"/>
      </w:pPr>
      <w:r>
        <w:t xml:space="preserve">2. Ministerio de Salud de Chile. </w:t>
      </w:r>
      <w:r>
        <w:rPr>
          <w:i/>
        </w:rPr>
        <w:t>Plan Nacional de Demencia 2025–2035</w:t>
      </w:r>
      <w:r>
        <w:t xml:space="preserve">. DIPRECE; 2026. </w:t>
      </w:r>
      <w:hyperlink r:id="rId124">
        <w:r>
          <w:rPr>
            <w:color w:val="246B8E"/>
            <w:u w:val="single"/>
          </w:rPr>
          <w:t>Portal</w:t>
        </w:r>
      </w:hyperlink>
      <w:r>
        <w:t>.</w:t>
      </w:r>
    </w:p>
    <w:p>
      <w:pPr>
        <w:pStyle w:val="Bibliography"/>
      </w:pPr>
      <w:r>
        <w:t xml:space="preserve">3. National Institute for Health and Care Excellence. </w:t>
      </w:r>
      <w:r>
        <w:rPr>
          <w:i/>
        </w:rPr>
        <w:t>Dementia: Assessment, Management and Support for People Living With Dementia and Their Carers (NG97)</w:t>
      </w:r>
      <w:r>
        <w:t xml:space="preserve">. NICE; 2018, updated 2025. </w:t>
      </w:r>
      <w:hyperlink r:id="rId125">
        <w:r>
          <w:rPr>
            <w:color w:val="246B8E"/>
            <w:u w:val="single"/>
          </w:rPr>
          <w:t>Recomendaciones</w:t>
        </w:r>
      </w:hyperlink>
      <w:r>
        <w:t>.</w:t>
      </w:r>
    </w:p>
    <w:p>
      <w:pPr>
        <w:pStyle w:val="Bibliography"/>
      </w:pPr>
      <w:r>
        <w:t xml:space="preserve">4. World Health Organization. </w:t>
      </w:r>
      <w:r>
        <w:rPr>
          <w:i/>
        </w:rPr>
        <w:t>Clinical Descriptions and Diagnostic Requirements for ICD-11 Mental, Behavioural and Neurodevelopmental Disorders</w:t>
      </w:r>
      <w:r>
        <w:t xml:space="preserve">. WHO; 2024. </w:t>
      </w:r>
      <w:hyperlink r:id="rId116">
        <w:r>
          <w:rPr>
            <w:color w:val="246B8E"/>
            <w:u w:val="single"/>
          </w:rPr>
          <w:t>Documento</w:t>
        </w:r>
      </w:hyperlink>
      <w:r>
        <w:t>.</w:t>
      </w:r>
    </w:p>
    <w:p>
      <w:pPr>
        <w:pStyle w:val="Bibliography"/>
      </w:pPr>
      <w:r>
        <w:t xml:space="preserve">5. Livingston G, Huntley J, Liu KY, et al. Dementia prevention, intervention, and care: 2024 report of the Lancet standing Commission. </w:t>
      </w:r>
      <w:r>
        <w:rPr>
          <w:i/>
        </w:rPr>
        <w:t>Lancet</w:t>
      </w:r>
      <w:r>
        <w:t>. 2024;404:572-628.</w:t>
      </w:r>
    </w:p>
    <w:p>
      <w:r>
        <w:br w:type="page"/>
      </w:r>
    </w:p>
    <w:p>
      <w:pPr>
        <w:spacing w:after="480"/>
      </w:pPr>
      <w:r>
        <w:rPr>
          <w:rFonts w:ascii="Calibri" w:hAnsi="Calibri"/>
          <w:b/>
          <w:color w:val="2A8C82"/>
          <w:sz w:val="20"/>
        </w:rPr>
        <w:t>CAPÍTULO 43 · MATERIAL PARA ESTUDIANTES</w:t>
      </w:r>
    </w:p>
    <w:tbl>
      <w:tblPr>
        <w:tblW w:type="auto" w:w="0"/>
        <w:jc w:val="left"/>
        <w:tblLayout w:type="fixed"/>
        <w:tblLook w:firstColumn="1" w:firstRow="1" w:lastColumn="0" w:lastRow="0" w:noHBand="0" w:noVBand="1" w:val="04A0"/>
      </w:tblPr>
      <w:tblGrid>
        <w:gridCol w:w="9648"/>
      </w:tblGrid>
      <w:tr>
        <w:trPr>
          <w:tblHeader w:val="true"/>
        </w:trPr>
        <w:tc>
          <w:tcPr>
            <w:tcW w:type="dxa" w:w="9072"/>
            <w:shd w:fill="173A5E"/>
            <w:tcMar>
              <w:top w:w="120" w:type="dxa"/>
              <w:start w:w="220" w:type="dxa"/>
              <w:bottom w:w="120" w:type="dxa"/>
              <w:end w:w="220" w:type="dxa"/>
            </w:tcMar>
          </w:tcPr>
          <w:p>
            <w:pPr>
              <w:spacing w:after="0"/>
            </w:pPr>
            <w:r>
              <w:rPr>
                <w:rFonts w:ascii="Calibri" w:hAnsi="Calibri"/>
                <w:b/>
                <w:color w:val="FFFFFF"/>
                <w:sz w:val="19"/>
              </w:rPr>
              <w:t>MÓDULO II · PATOLOGÍAS, GES Y TRATAMIENTOS</w:t>
            </w:r>
          </w:p>
        </w:tc>
      </w:tr>
    </w:tbl>
    <w:p>
      <w:pPr>
        <w:pStyle w:val="Title"/>
        <w:spacing w:before="520" w:after="360"/>
        <w:outlineLvl w:val="0"/>
      </w:pPr>
      <w:bookmarkStart w:id="1043" w:name="chapter_43"/>
      <w:r>
        <w:t>Neurodesarrollo en adultos: TDAH, autismo y discapacidad intelectual</w:t>
      </w:r>
      <w:bookmarkEnd w:id="1043"/>
    </w:p>
    <w:p>
      <w:pPr>
        <w:spacing w:after="80"/>
      </w:pPr>
      <w:r>
        <w:rPr>
          <w:rFonts w:ascii="Calibri" w:hAnsi="Calibri"/>
          <w:b/>
          <w:color w:val="246B8E"/>
          <w:sz w:val="26"/>
        </w:rPr>
        <w:t>Programa de Psiquiatría para internos de Medicina</w:t>
      </w:r>
    </w:p>
    <w:p>
      <w:r>
        <w:rPr>
          <w:rFonts w:ascii="Calibri" w:hAnsi="Calibri"/>
          <w:color w:val="6B7280"/>
          <w:sz w:val="22"/>
        </w:rPr>
        <w:t>Lectura complementaria · Chile · Versión final para revisión humana · 2026</w:t>
      </w:r>
    </w:p>
    <w:p/>
    <w:p/>
    <w:p/>
    <w:p/>
    <w:p/>
    <w:tbl>
      <w:tblPr>
        <w:tblW w:type="auto" w:w="0"/>
        <w:jc w:val="left"/>
        <w:tblLayout w:type="fixed"/>
        <w:tblLook w:firstColumn="1" w:firstRow="1" w:lastColumn="0" w:lastRow="0" w:noHBand="0" w:noVBand="1" w:val="04A0"/>
      </w:tblPr>
      <w:tblGrid>
        <w:gridCol w:w="9648"/>
      </w:tblGrid>
      <w:tr>
        <w:trPr>
          <w:tblHeader w:val="true"/>
        </w:trPr>
        <w:tc>
          <w:tcPr>
            <w:tcW w:type="dxa" w:w="9648"/>
            <w:shd w:fill="F3F5F6"/>
            <w:tcBorders>
              <w:start w:val="single" w:sz="18" w:color="2A8C82"/>
            </w:tcBorders>
            <w:tcMar>
              <w:top w:w="160" w:type="dxa"/>
              <w:start w:w="220" w:type="dxa"/>
              <w:bottom w:w="160" w:type="dxa"/>
              <w:end w:w="220" w:type="dxa"/>
            </w:tcMar>
          </w:tcPr>
          <w:p>
            <w:pPr>
              <w:spacing w:after="0"/>
            </w:pPr>
            <w:r>
              <w:rPr>
                <w:rFonts w:ascii="Calibri" w:hAnsi="Calibri"/>
                <w:i/>
                <w:color w:val="6B7280"/>
                <w:sz w:val="18"/>
              </w:rPr>
              <w:t>Versión docente final para revisión humana. Material propuesto y contextualizado a Chile; no corresponde a un programa oficial de la Pontificia Universidad Católica de Chile ni sustituye protocolos locales, supervisión clínica o evaluación especializada. Fuentes revisadas al 15 de agosto de 2026.</w:t>
            </w:r>
          </w:p>
        </w:tc>
      </w:tr>
    </w:tbl>
    <w:p>
      <w:r>
        <w:br w:type="page"/>
      </w:r>
    </w:p>
    <w:tbl>
      <w:tblPr>
        <w:tblW w:type="auto" w:w="0"/>
        <w:jc w:val="center"/>
        <w:tblLayout w:type="autofit"/>
        <w:tblLook w:firstColumn="1" w:firstRow="1" w:lastColumn="0" w:lastRow="0" w:noHBand="0" w:noVBand="1" w:val="04A0"/>
      </w:tblPr>
      <w:tblGrid>
        <w:gridCol w:w="9648"/>
      </w:tblGrid>
      <w:tr>
        <w:trPr>
          <w:tblHeader w:val="true"/>
        </w:trPr>
        <w:tc>
          <w:tcPr>
            <w:tcW w:type="dxa" w:w="9648"/>
            <w:vAlign w:val="center"/>
            <w:shd w:fill="EAF3F7"/>
            <w:tcBorders>
              <w:start w:val="single" w:sz="14" w:color="2A8C82"/>
            </w:tcBorders>
            <w:tcMar>
              <w:top w:w="130" w:type="dxa"/>
              <w:start w:w="190" w:type="dxa"/>
              <w:bottom w:w="130" w:type="dxa"/>
              <w:end w:w="190" w:type="dxa"/>
            </w:tcMar>
          </w:tcPr>
          <w:p>
            <w:pPr>
              <w:spacing w:after="0"/>
            </w:pPr>
            <w:r>
              <w:rPr>
                <w:b/>
                <w:color w:val="173A5E"/>
              </w:rPr>
              <w:t xml:space="preserve">PREGUNTA CLÍNICA  </w:t>
            </w:r>
            <w:r>
              <w:t>¿Cómo reconocer condiciones del neurodesarrollo que llegan a la adultez sin diagnosticar por moda, estereotipo o una escala de internet?</w:t>
            </w:r>
          </w:p>
        </w:tc>
      </w:tr>
    </w:tbl>
    <w:p>
      <w:pPr>
        <w:spacing w:after="0"/>
      </w:pPr>
    </w:p>
    <w:tbl>
      <w:tblPr>
        <w:tblW w:type="auto" w:w="0"/>
        <w:jc w:val="center"/>
        <w:tblLayout w:type="autofit"/>
        <w:tblLook w:firstColumn="1" w:firstRow="1" w:lastColumn="0" w:lastRow="0" w:noHBand="0" w:noVBand="1" w:val="04A0"/>
      </w:tblPr>
      <w:tblGrid>
        <w:gridCol w:w="9648"/>
      </w:tblGrid>
      <w:tr>
        <w:trPr>
          <w:tblHeader w:val="true"/>
        </w:trPr>
        <w:tc>
          <w:tcPr>
            <w:tcW w:type="dxa" w:w="9648"/>
            <w:vAlign w:val="center"/>
            <w:shd w:fill="EAF6F3"/>
            <w:tcBorders>
              <w:start w:val="single" w:sz="14" w:color="2A8C82"/>
            </w:tcBorders>
            <w:tcMar>
              <w:top w:w="130" w:type="dxa"/>
              <w:start w:w="190" w:type="dxa"/>
              <w:bottom w:w="130" w:type="dxa"/>
              <w:end w:w="190" w:type="dxa"/>
            </w:tcMar>
          </w:tcPr>
          <w:p>
            <w:pPr>
              <w:spacing w:after="0"/>
            </w:pPr>
            <w:r>
              <w:rPr>
                <w:b/>
                <w:color w:val="173A5E"/>
              </w:rPr>
              <w:t xml:space="preserve">IDEA CENTRAL  </w:t>
            </w:r>
            <w:r>
              <w:t>el diagnóstico adulto exige evidencia de un patrón iniciado durante el desarrollo, deterioro actual y un diferencial riguroso. La meta es mejorar funcionamiento, participación y accesibilidad, no “normalizar” a la persona.</w:t>
            </w:r>
          </w:p>
        </w:tc>
      </w:tr>
    </w:tbl>
    <w:p>
      <w:pPr>
        <w:spacing w:after="0"/>
      </w:pPr>
    </w:p>
    <w:p>
      <w:pPr>
        <w:pStyle w:val="Heading1"/>
      </w:pPr>
      <w:r>
        <w:t>Por qué importa</w:t>
      </w:r>
    </w:p>
    <w:p>
      <w:r>
        <w:t>Muchas personas alcanzan la adultez sin diagnóstico porque compensaron, tuvieron apoyos o no coincidían con estereotipos. Otras consultan después de identificarse con contenidos en redes. La autoobservación puede abrir una pregunta válida, pero una escala positiva no establece etiología ni deterioro.</w:t>
      </w:r>
    </w:p>
    <w:p>
      <w:r>
        <w:t>Esta clase reúne tres campos extensos y, por eso, define un nivel realista: reconocimiento, evaluación inicial, ajustes y ruta de derivación. El tratamiento especializado de cada condición requiere más profundidad. El principio común es evolutivo: el patrón comienza durante el desarrollo, aunque sólo se vuelva evidente cuando las demandas adultas superan estrategias previas.</w:t>
      </w:r>
    </w:p>
    <w:p>
      <w:pPr>
        <w:pStyle w:val="Heading1"/>
      </w:pPr>
      <w:r>
        <w:t>Objetivos de aprendizaje</w:t>
      </w:r>
    </w:p>
    <w:p>
      <w:pPr>
        <w:keepNext/>
      </w:pPr>
      <w:r>
        <w:t>Al finalizar esta lectura, el estudiante podrá:</w:t>
      </w:r>
    </w:p>
    <w:p>
      <w:pPr>
        <w:spacing w:after="60" w:line="288" w:lineRule="auto"/>
        <w:ind w:left="432" w:hanging="216"/>
      </w:pPr>
      <w:r>
        <w:t>1. Evaluar TDAH adulto mediante historia evolutiva y deterioro en varios contextos.</w:t>
      </w:r>
    </w:p>
    <w:p>
      <w:pPr>
        <w:spacing w:after="60" w:line="288" w:lineRule="auto"/>
        <w:ind w:left="432" w:hanging="216"/>
      </w:pPr>
      <w:r>
        <w:t>2. Reconocer autismo adulto y presentaciones camufladas.</w:t>
      </w:r>
    </w:p>
    <w:p>
      <w:pPr>
        <w:spacing w:after="60" w:line="288" w:lineRule="auto"/>
        <w:ind w:left="432" w:hanging="216"/>
      </w:pPr>
      <w:r>
        <w:t>3. Diferenciar discapacidad intelectual de un puntaje aislado de CI.</w:t>
      </w:r>
    </w:p>
    <w:p>
      <w:pPr>
        <w:spacing w:after="60" w:line="288" w:lineRule="auto"/>
        <w:ind w:left="432" w:hanging="216"/>
      </w:pPr>
      <w:r>
        <w:t>4. Distinguir neurodesarrollo de trastornos episódicos y causas adquiridas.</w:t>
      </w:r>
    </w:p>
    <w:p>
      <w:pPr>
        <w:spacing w:after="60" w:line="288" w:lineRule="auto"/>
        <w:ind w:left="432" w:hanging="216"/>
      </w:pPr>
      <w:r>
        <w:t>5. Proponer apoyos, ajustes y tratamiento de comorbilidades.</w:t>
      </w:r>
    </w:p>
    <w:p>
      <w:pPr>
        <w:spacing w:after="60" w:line="288" w:lineRule="auto"/>
        <w:ind w:left="432" w:hanging="216"/>
      </w:pPr>
      <w:r>
        <w:t>6. Aplicar apoyo a decisiones y principios de la Ley 21.545.</w:t>
      </w:r>
    </w:p>
    <w:p>
      <w:pPr>
        <w:pStyle w:val="Heading1"/>
      </w:pPr>
      <w:r>
        <w:t>Caso clínico</w:t>
      </w:r>
    </w:p>
    <w:p>
      <w:pPr>
        <w:shd w:fill="EAF3F7"/>
        <w:keepNext/>
        <w:keepLines/>
        <w:pBdr>
          <w:left w:val="single" w:sz="8" w:space="8" w:color="246B8E"/>
        </w:pBdr>
        <w:ind w:left="173" w:right="86"/>
      </w:pPr>
      <w:r>
        <w:t>Paula, de 34 años, ha sido tratada por ansiedad, depresión y “personalidad evitativa”. Desde niña presentaba intereses intensos, sensibilidad auditiva, dificultad para comprender códigos sociales, olvidos y desorganización escolar. Ha aprendido a ensayar conversaciones y termina exhausta después del trabajo. Dos cuestionarios en línea sugieren simultáneamente autismo y TDAH.</w:t>
      </w:r>
    </w:p>
    <w:p>
      <w:pPr>
        <w:shd w:fill="EAF3F7"/>
        <w:keepLines/>
        <w:pBdr>
          <w:left w:val="single" w:sz="8" w:space="8" w:color="246B8E"/>
        </w:pBdr>
        <w:ind w:left="173" w:right="86"/>
      </w:pPr>
      <w:r>
        <w:t>Ambas condiciones pueden coexistir, pero también deben explorarse sueño, ansiedad, trauma y episodios afectivos. La evaluación busca una trayectoria y ejemplos funcionales, no validar o invalidar una identidad con una sola prueba.</w:t>
      </w:r>
    </w:p>
    <w:p>
      <w:pPr>
        <w:pStyle w:val="Heading1"/>
      </w:pPr>
      <w:r>
        <w:t>El principio evolutivo</w:t>
      </w:r>
    </w:p>
    <w:p>
      <w:r>
        <w:t>Se reconstruye infancia y adolescencia mediante recuerdos, boletines, informes, familiares u otras fuentes disponibles. No debe exigirse un documento imposible ni suponer que la ausencia de un informante invalida toda historia; se calibra la certeza. Se buscan manifestaciones antes de que aparecieran depresión, consumo o privación de sueño, y su presencia en más de un contexto.</w:t>
      </w:r>
    </w:p>
    <w:p>
      <w:r>
        <w:t>Las demandas importan. Una persona puede funcionar bien en una escuela muy estructurada y descompensarse al administrar universidad, trabajo y hogar. Otra puede haber aprendido guiones sociales que ocultan diferencias a costa de agotamiento. Diagnóstico tardío no significa inicio tardío.</w:t>
      </w:r>
    </w:p>
    <w:p>
      <w:r>
        <w:t>Los cuestionarios son herramientas de pesquisa. Pueden elevarse por ansiedad, depresión, trauma o por la forma en que la persona interpreta preguntas. El diagnóstico integra entrevista, historia, observación, función y diferencial.</w:t>
      </w:r>
    </w:p>
    <w:p>
      <w:pPr>
        <w:pStyle w:val="Heading1"/>
      </w:pPr>
      <w:r>
        <w:t>TDAH en adultos</w:t>
      </w:r>
    </w:p>
    <w:p>
      <w:r>
        <w:t>La inatención adulta se expresa como dificultad para organizar, estimar tiempo, iniciar o finalizar tareas, recordar compromisos y resistir distractores. La hiperactividad puede transformarse en inquietud interna; la impulsividad afecta conversación, conducción, dinero o decisiones. Deben existir manifestaciones desde la infancia, más de un contexto y deterioro. Tener días desorganizados o rendir mejor con un estimulante no demuestra TDAH.</w:t>
      </w:r>
    </w:p>
    <w:p>
      <w:r>
        <w:t>El diferencial incluye sueño insuficiente y apnea, ansiedad, depresión, manía, trauma, sustancias, efectos farmacológicos y trastornos cognitivos. La manía produce un cambio episódico con energía elevada y menor necesidad de dormir; el TDAH es más estable. La ansiedad puede bloquear atención por preocupación; en TDAH, la organización falla incluso sin ansiedad intensa.</w:t>
      </w:r>
    </w:p>
    <w:p>
      <w:r>
        <w:t>El tratamiento es multimodal: psicoeducación, sistemas externos de calendario y recordatorio, modificación de ambiente, estrategias cognitivo-conductuales y ajustes laborales o académicos. El diagnóstico y el inicio farmacológico requieren un profesional con entrenamiento pertinente. Estimulantes y no estimulantes se seleccionan tras evaluar presión y pulso, antecedentes cardiovasculares, consumo problemático, psicosis, bipolaridad, tics, sueño, interacciones y regulación local. Un ECG no es universal si historia y examen cardiovasculares son normales, pero sí se solicita o deriva cuando existen señales clínicas o fármacos de riesgo. Se monitorizan beneficio funcional, apetito, peso, sueño, pulso, presión y posible uso no indicado. “Me da energía” no basta para mantener una receta.</w:t>
      </w:r>
    </w:p>
    <w:p>
      <w:pPr>
        <w:pStyle w:val="Heading1"/>
      </w:pPr>
      <w:r>
        <w:t>Autismo en adultos</w:t>
      </w:r>
    </w:p>
    <w:p>
      <w:r>
        <w:t>El autismo incluye diferencias persistentes en reciprocidad y comunicación social, junto con patrones restringidos o repetitivos, necesidad de predictibilidad o particularidades sensoriales. La presentación varía enormemente. Contacto ocular, empleo, pareja o humor no lo descartan. Algunas personas, especialmente quienes fueron socializadas para compensar, aprenden a copiar gestos o ensayar diálogos; este camuflaje puede retrasar diagnóstico y aumentar agotamiento.</w:t>
      </w:r>
    </w:p>
    <w:p>
      <w:r>
        <w:t>Se exploran amistades, comunicación implícita, flexibilidad, intereses, rutinas, experiencias sensoriales y desarrollo temprano. El diferencial incluye ansiedad social, TOC, trauma, TLP, esquizotipia y aislamiento depresivo. La evaluación especializada puede usar instrumentos, pero ninguno confirma por sí solo.</w:t>
      </w:r>
    </w:p>
    <w:p>
      <w:r>
        <w:t>Los apoyos incluyen lenguaje claro, anticipar cambios, reducir estímulos, ofrecer pausas, permitir formas alternativas de comunicación y ajustar estudio o trabajo. No se medica “el autismo”; se tratan comorbilidades o síntomas definidos, considerando respuestas y efectos adversos individuales. Una crisis sensorial o comunicacional no equivale automáticamente a psicosis o agresividad intencional. En una desregulación conviene preguntar qué estímulo, demanda, dolor o ruptura de rutina la precedió, reducir lenguaje y exigencias, y evitar contacto físico no consentido; después se construye con la persona un plan anticipatorio.</w:t>
      </w:r>
    </w:p>
    <w:p>
      <w:r>
        <w:t>El llamado burnout autista describe agotamiento y pérdida funcional tras demandas sostenidas. Es clínicamente útil como formulación, pero debe diferenciarse de depresión, catatonía, trastornos del sueño y enfermedad médica.</w:t>
      </w:r>
    </w:p>
    <w:p>
      <w:pPr>
        <w:pStyle w:val="Heading1"/>
      </w:pPr>
      <w:r>
        <w:t>Discapacidad intelectual</w:t>
      </w:r>
    </w:p>
    <w:p>
      <w:r>
        <w:t>La discapacidad intelectual requiere limitaciones en funciones intelectuales y en funcionamiento adaptativo conceptual, social y práctico, con comienzo durante el desarrollo. La gravedad se determina por el apoyo requerido en la vida real, no sólo por CI. Una prueba puede estar sesgada por idioma, educación, audición, cooperación o enfermedad aguda; se integra con escalas adaptativas e historia.</w:t>
      </w:r>
    </w:p>
    <w:p>
      <w:r>
        <w:t xml:space="preserve">Se revisan etiologías genéticas o médicas cuando corresponde, epilepsia, visión, audición, comunicación y salud física. Un cambio conductual puede expresar dolor dental, constipación, abuso, efectos adversos o un cambio ambiental. Atribuir toda novedad a la discapacidad es </w:t>
      </w:r>
      <w:r>
        <w:rPr>
          <w:b/>
        </w:rPr>
        <w:t>diagnostic overshadowing</w:t>
      </w:r>
      <w:r>
        <w:t xml:space="preserve"> y retrasa diagnósticos tratables.</w:t>
      </w:r>
    </w:p>
    <w:p>
      <w:r>
        <w:t>La información y el consentimiento se adaptan a comprensión y comunicación. Se ofrecen apoyos para decidir en lugar de presumir incapacidad. Una persona puede requerir ayuda en finanzas y conservar capacidad para decisiones cotidianas o de salud específicas.</w:t>
      </w:r>
    </w:p>
    <w:p>
      <w:pPr>
        <w:pStyle w:val="Heading1"/>
      </w:pPr>
      <w:r>
        <w:t>Comorbilidad, crisis y accesibilidad</w:t>
      </w:r>
    </w:p>
    <w:p>
      <w:r>
        <w:t>TDAH y autismo pueden coexistir. Depresión, ansiedad, TOC, trastornos alimentarios, consumo y conducta suicida se evalúan por mérito propio; no se explican automáticamente por neurodivergencia. En urgencia ayuda disminuir estímulos, utilizar lenguaje concreto, una persona comunicando, más tiempo de procesamiento y el apoyo elegido por la persona.</w:t>
      </w:r>
    </w:p>
    <w:p>
      <w:r>
        <w:t>La Ley chilena 21.545 promueve inclusión, trato digno, neurodiversidad y atención integral de personas autistas a lo largo del curso de vida. En salud reconoce el derecho a una atención pertinente a las necesidades y, cualquiera sea la edad, al acompañamiento por familiares, personas cuidadoras o significativas en hospitalización y atención ambulatoria, en los términos de la Ley 20.584. Su traducción clínica incluye lenguaje claro, protección de privacidad, ajustes de comunicación, tiempo de procesamiento y participación de la propia persona. El acompañante facilita; no debe reemplazar automáticamente su voz.</w:t>
      </w:r>
    </w:p>
    <w:p>
      <w:r>
        <w:t>La ley no convierte todo diagnóstico en incapacidad ni en certificación automática de discapacidad. Vincula la discapacidad con impacto funcional significativo y barreras del entorno, cuya calificación y certificación siguen la Ley 20.422. Tampoco constituye por sí misma un GES específico para autismo: ordenó evaluar su eventual incorporación. Por tanto, no se debe prometer una garantía inexistente ni usar la falta de credencial para negar una atención accesible. Las orientaciones técnicas MINSAL de 2025 desarrollan la atención integral a lo largo del curso de vida.</w:t>
      </w:r>
    </w:p>
    <w:p>
      <w:r>
        <w:t>La coordinación puede involucrar APS, psiquiatría, neurología, terapia ocupacional, educación, trabajo y apoyos sociales. Se acuerdan objetivos observables —por ejemplo, reducir crisis en urgencia, sostener empleo o mejorar manejo de medicamentos— y se revisan con la persona. Las preferencias terminológicas varían: algunas personas prefieren “autista” y otras “persona con autismo”; preguntar evita imponer una etiqueta.</w:t>
      </w:r>
    </w:p>
    <w:p>
      <w:r>
        <w:t xml:space="preserve">Se utiliza el término </w:t>
      </w:r>
      <w:r>
        <w:rPr>
          <w:b/>
        </w:rPr>
        <w:t>discapacidad intelectual</w:t>
      </w:r>
      <w:r>
        <w:t>. “Retardo mental” es obsoleto y estigmatizante, aunque todavía puede aparecer en documentos o preguntas antiguas; debe entenderse la equivalencia sin reproducirla como lenguaje clínico normal.</w:t>
      </w:r>
    </w:p>
    <w:p>
      <w:r>
        <w:t>En Paula, la conclusión puede ser provisional: rasgos compatibles con autismo y posible TDAH, junto a ansiedad y agotamiento. Se priorizan ajustes sensoriales, sueño, evaluación especializada y objetivos funcionales antes de multiplicar tratamientos.</w:t>
      </w:r>
    </w:p>
    <w:p>
      <w:pPr>
        <w:pStyle w:val="Heading1"/>
      </w:pPr>
      <w:r>
        <w:t>Errores frecuentes</w:t>
      </w:r>
    </w:p>
    <w:p>
      <w:pPr>
        <w:pStyle w:val="ListBullet"/>
      </w:pPr>
      <w:r>
        <w:t>Confirmar un diagnóstico por un cuestionario en línea.</w:t>
      </w:r>
    </w:p>
    <w:p>
      <w:pPr>
        <w:pStyle w:val="ListBullet"/>
      </w:pPr>
      <w:r>
        <w:t>Exigir hiperactividad motora estereotipada en todo TDAH adulto.</w:t>
      </w:r>
    </w:p>
    <w:p>
      <w:pPr>
        <w:pStyle w:val="ListBullet"/>
      </w:pPr>
      <w:r>
        <w:t>Confundir inatención episódica de manía con TDAH.</w:t>
      </w:r>
    </w:p>
    <w:p>
      <w:pPr>
        <w:pStyle w:val="ListBullet"/>
      </w:pPr>
      <w:r>
        <w:t>Descartar autismo por contacto ocular, empleo o pareja.</w:t>
      </w:r>
    </w:p>
    <w:p>
      <w:pPr>
        <w:pStyle w:val="ListBullet"/>
      </w:pPr>
      <w:r>
        <w:t>Usar el CI como único criterio de discapacidad intelectual.</w:t>
      </w:r>
    </w:p>
    <w:p>
      <w:pPr>
        <w:pStyle w:val="ListBullet"/>
      </w:pPr>
      <w:r>
        <w:t>Presumir incapacidad, infantilizar o medicar rasgos nucleares sin objetivo.</w:t>
      </w:r>
    </w:p>
    <w:p>
      <w:pPr>
        <w:pStyle w:val="Heading1"/>
      </w:pPr>
      <w:r>
        <w:t>Para recordar</w:t>
      </w:r>
    </w:p>
    <w:p>
      <w:pPr>
        <w:spacing w:after="60" w:line="288" w:lineRule="auto"/>
        <w:ind w:left="432" w:hanging="216"/>
        <w:shd w:fill="EAF6F3"/>
        <w:keepNext/>
        <w:keepLines/>
        <w:pBdr>
          <w:left w:val="single" w:sz="8" w:space="8" w:color="2A8C82"/>
        </w:pBdr>
      </w:pPr>
      <w:r>
        <w:t>1. El diagnóstico adulto comienza en la historia del desarrollo.</w:t>
      </w:r>
    </w:p>
    <w:p>
      <w:pPr>
        <w:spacing w:after="60" w:line="288" w:lineRule="auto"/>
        <w:ind w:left="432" w:hanging="216"/>
        <w:shd w:fill="EAF6F3"/>
        <w:keepNext/>
        <w:keepLines/>
        <w:pBdr>
          <w:left w:val="single" w:sz="8" w:space="8" w:color="2A8C82"/>
        </w:pBdr>
      </w:pPr>
      <w:r>
        <w:t>2. Las escalas pesquisan; no confirman solas.</w:t>
      </w:r>
    </w:p>
    <w:p>
      <w:pPr>
        <w:spacing w:after="60" w:line="288" w:lineRule="auto"/>
        <w:ind w:left="432" w:hanging="216"/>
        <w:shd w:fill="EAF6F3"/>
        <w:keepNext/>
        <w:keepLines/>
        <w:pBdr>
          <w:left w:val="single" w:sz="8" w:space="8" w:color="2A8C82"/>
        </w:pBdr>
      </w:pPr>
      <w:r>
        <w:t>3. TDAH, autismo y discapacidad intelectual pueden coexistir con otros trastornos.</w:t>
      </w:r>
    </w:p>
    <w:p>
      <w:pPr>
        <w:spacing w:after="60" w:line="288" w:lineRule="auto"/>
        <w:ind w:left="432" w:hanging="216"/>
        <w:shd w:fill="EAF6F3"/>
        <w:keepNext/>
        <w:keepLines/>
        <w:pBdr>
          <w:left w:val="single" w:sz="8" w:space="8" w:color="2A8C82"/>
        </w:pBdr>
      </w:pPr>
      <w:r>
        <w:t>4. Ajustar entorno y comunicación puede ser tan importante como medicar.</w:t>
      </w:r>
    </w:p>
    <w:p>
      <w:pPr>
        <w:spacing w:after="60" w:line="288" w:lineRule="auto"/>
        <w:ind w:left="432" w:hanging="216"/>
        <w:shd w:fill="EAF6F3"/>
        <w:keepLines/>
        <w:pBdr>
          <w:left w:val="single" w:sz="8" w:space="8" w:color="2A8C82"/>
        </w:pBdr>
      </w:pPr>
      <w:r>
        <w:t>5. La autonomía se apoya; no se sustituye por el diagnóstico.</w:t>
      </w:r>
    </w:p>
    <w:p>
      <w:pPr>
        <w:pStyle w:val="Heading1"/>
      </w:pPr>
      <w:r>
        <w:t>Bibliografía esencial</w:t>
      </w:r>
    </w:p>
    <w:p>
      <w:pPr>
        <w:pStyle w:val="Bibliography"/>
      </w:pPr>
      <w:r>
        <w:t xml:space="preserve">1. World Health Organization. </w:t>
      </w:r>
      <w:r>
        <w:rPr>
          <w:i/>
        </w:rPr>
        <w:t>Clinical Descriptions and Diagnostic Requirements for ICD-11 Mental, Behavioural and Neurodevelopmental Disorders</w:t>
      </w:r>
      <w:r>
        <w:t xml:space="preserve">. WHO; 2024. </w:t>
      </w:r>
      <w:hyperlink r:id="rId116">
        <w:r>
          <w:rPr>
            <w:color w:val="246B8E"/>
            <w:u w:val="single"/>
          </w:rPr>
          <w:t>Documento</w:t>
        </w:r>
      </w:hyperlink>
      <w:r>
        <w:t>.</w:t>
      </w:r>
    </w:p>
    <w:p>
      <w:pPr>
        <w:pStyle w:val="Bibliography"/>
      </w:pPr>
      <w:r>
        <w:t xml:space="preserve">2. National Institute for Health and Care Excellence. </w:t>
      </w:r>
      <w:r>
        <w:rPr>
          <w:i/>
        </w:rPr>
        <w:t>Attention Deficit Hyperactivity Disorder: Diagnosis and Management (NG87)</w:t>
      </w:r>
      <w:r>
        <w:t xml:space="preserve">. NICE; 2018, updated 2019; reviewed 2025. </w:t>
      </w:r>
      <w:hyperlink r:id="rId126">
        <w:r>
          <w:rPr>
            <w:color w:val="246B8E"/>
            <w:u w:val="single"/>
          </w:rPr>
          <w:t>Recomendaciones</w:t>
        </w:r>
      </w:hyperlink>
      <w:r>
        <w:t>.</w:t>
      </w:r>
    </w:p>
    <w:p>
      <w:pPr>
        <w:pStyle w:val="Bibliography"/>
      </w:pPr>
      <w:r>
        <w:t xml:space="preserve">3. National Institute for Health and Care Excellence. </w:t>
      </w:r>
      <w:r>
        <w:rPr>
          <w:i/>
        </w:rPr>
        <w:t>Autism Spectrum Disorder in Adults: Diagnosis and Management (CG142)</w:t>
      </w:r>
      <w:r>
        <w:t xml:space="preserve">. NICE; 2012, updated 2021. </w:t>
      </w:r>
      <w:hyperlink r:id="rId127">
        <w:r>
          <w:rPr>
            <w:color w:val="246B8E"/>
            <w:u w:val="single"/>
          </w:rPr>
          <w:t>Guía</w:t>
        </w:r>
      </w:hyperlink>
      <w:r>
        <w:t>.</w:t>
      </w:r>
    </w:p>
    <w:p>
      <w:pPr>
        <w:pStyle w:val="Bibliography"/>
      </w:pPr>
      <w:r>
        <w:t xml:space="preserve">4. Ministerio de Salud de Chile. </w:t>
      </w:r>
      <w:r>
        <w:rPr>
          <w:i/>
        </w:rPr>
        <w:t>Orientaciones técnicas para la atención integral de personas con diagnóstico de trastorno del espectro autista a lo largo del curso de vida</w:t>
      </w:r>
      <w:r>
        <w:t xml:space="preserve">. DIPRECE; 2025. </w:t>
      </w:r>
      <w:hyperlink r:id="rId128">
        <w:r>
          <w:rPr>
            <w:color w:val="246B8E"/>
            <w:u w:val="single"/>
          </w:rPr>
          <w:t>Documento oficial</w:t>
        </w:r>
      </w:hyperlink>
      <w:r>
        <w:t>.</w:t>
      </w:r>
    </w:p>
    <w:p>
      <w:pPr>
        <w:pStyle w:val="Bibliography"/>
      </w:pPr>
      <w:r>
        <w:t xml:space="preserve">5. Chile. Ley N.º 21.545, establece la promoción de la inclusión, la atención integral y la protección de los derechos de las personas con trastorno del espectro autista. 2023. </w:t>
      </w:r>
      <w:hyperlink r:id="rId129">
        <w:r>
          <w:rPr>
            <w:color w:val="246B8E"/>
            <w:u w:val="single"/>
          </w:rPr>
          <w:t>Texto oficial</w:t>
        </w:r>
      </w:hyperlink>
      <w:r>
        <w:t>.</w:t>
      </w:r>
    </w:p>
    <w:p>
      <w:r>
        <w:br w:type="page"/>
      </w:r>
    </w:p>
    <w:p>
      <w:pPr>
        <w:spacing w:after="480"/>
      </w:pPr>
      <w:r>
        <w:rPr>
          <w:rFonts w:ascii="Calibri" w:hAnsi="Calibri"/>
          <w:b/>
          <w:color w:val="2A8C82"/>
          <w:sz w:val="20"/>
        </w:rPr>
        <w:t>CAPÍTULO 44 · MATERIAL PARA ESTUDIANTES</w:t>
      </w:r>
    </w:p>
    <w:tbl>
      <w:tblPr>
        <w:tblW w:type="auto" w:w="0"/>
        <w:jc w:val="left"/>
        <w:tblLayout w:type="fixed"/>
        <w:tblLook w:firstColumn="1" w:firstRow="1" w:lastColumn="0" w:lastRow="0" w:noHBand="0" w:noVBand="1" w:val="04A0"/>
      </w:tblPr>
      <w:tblGrid>
        <w:gridCol w:w="9648"/>
      </w:tblGrid>
      <w:tr>
        <w:trPr>
          <w:tblHeader w:val="true"/>
        </w:trPr>
        <w:tc>
          <w:tcPr>
            <w:tcW w:type="dxa" w:w="9072"/>
            <w:shd w:fill="173A5E"/>
            <w:tcMar>
              <w:top w:w="120" w:type="dxa"/>
              <w:start w:w="220" w:type="dxa"/>
              <w:bottom w:w="120" w:type="dxa"/>
              <w:end w:w="220" w:type="dxa"/>
            </w:tcMar>
          </w:tcPr>
          <w:p>
            <w:pPr>
              <w:spacing w:after="0"/>
            </w:pPr>
            <w:r>
              <w:rPr>
                <w:rFonts w:ascii="Calibri" w:hAnsi="Calibri"/>
                <w:b/>
                <w:color w:val="FFFFFF"/>
                <w:sz w:val="19"/>
              </w:rPr>
              <w:t>MÓDULO II · PATOLOGÍAS, GES Y TRATAMIENTOS</w:t>
            </w:r>
          </w:p>
        </w:tc>
      </w:tr>
    </w:tbl>
    <w:p>
      <w:pPr>
        <w:pStyle w:val="Title"/>
        <w:spacing w:before="520" w:after="360"/>
        <w:outlineLvl w:val="0"/>
      </w:pPr>
      <w:bookmarkStart w:id="1044" w:name="chapter_44"/>
      <w:r>
        <w:t>Salud sexual, disfunciones sexuales, género y diversidad</w:t>
      </w:r>
      <w:bookmarkEnd w:id="1044"/>
    </w:p>
    <w:p>
      <w:pPr>
        <w:spacing w:after="80"/>
      </w:pPr>
      <w:r>
        <w:rPr>
          <w:rFonts w:ascii="Calibri" w:hAnsi="Calibri"/>
          <w:b/>
          <w:color w:val="246B8E"/>
          <w:sz w:val="26"/>
        </w:rPr>
        <w:t>Programa de Psiquiatría para internos de Medicina</w:t>
      </w:r>
    </w:p>
    <w:p>
      <w:r>
        <w:rPr>
          <w:rFonts w:ascii="Calibri" w:hAnsi="Calibri"/>
          <w:color w:val="6B7280"/>
          <w:sz w:val="22"/>
        </w:rPr>
        <w:t>Lectura complementaria · Chile · Versión final para revisión humana · 2026</w:t>
      </w:r>
    </w:p>
    <w:p/>
    <w:p/>
    <w:p/>
    <w:p/>
    <w:p/>
    <w:tbl>
      <w:tblPr>
        <w:tblW w:type="auto" w:w="0"/>
        <w:jc w:val="left"/>
        <w:tblLayout w:type="fixed"/>
        <w:tblLook w:firstColumn="1" w:firstRow="1" w:lastColumn="0" w:lastRow="0" w:noHBand="0" w:noVBand="1" w:val="04A0"/>
      </w:tblPr>
      <w:tblGrid>
        <w:gridCol w:w="9648"/>
      </w:tblGrid>
      <w:tr>
        <w:trPr>
          <w:tblHeader w:val="true"/>
        </w:trPr>
        <w:tc>
          <w:tcPr>
            <w:tcW w:type="dxa" w:w="9648"/>
            <w:shd w:fill="F3F5F6"/>
            <w:tcBorders>
              <w:start w:val="single" w:sz="18" w:color="2A8C82"/>
            </w:tcBorders>
            <w:tcMar>
              <w:top w:w="160" w:type="dxa"/>
              <w:start w:w="220" w:type="dxa"/>
              <w:bottom w:w="160" w:type="dxa"/>
              <w:end w:w="220" w:type="dxa"/>
            </w:tcMar>
          </w:tcPr>
          <w:p>
            <w:pPr>
              <w:spacing w:after="0"/>
            </w:pPr>
            <w:r>
              <w:rPr>
                <w:rFonts w:ascii="Calibri" w:hAnsi="Calibri"/>
                <w:i/>
                <w:color w:val="6B7280"/>
                <w:sz w:val="18"/>
              </w:rPr>
              <w:t>Versión docente final para revisión humana. Material propuesto y contextualizado a Chile; no corresponde a un programa oficial de la Pontificia Universidad Católica de Chile ni sustituye protocolos locales, supervisión clínica o evaluación especializada. Fuentes revisadas al 15 de agosto de 2026.</w:t>
            </w:r>
          </w:p>
        </w:tc>
      </w:tr>
    </w:tbl>
    <w:p>
      <w:r>
        <w:br w:type="page"/>
      </w:r>
    </w:p>
    <w:tbl>
      <w:tblPr>
        <w:tblW w:type="auto" w:w="0"/>
        <w:jc w:val="center"/>
        <w:tblLayout w:type="autofit"/>
        <w:tblLook w:firstColumn="1" w:firstRow="1" w:lastColumn="0" w:lastRow="0" w:noHBand="0" w:noVBand="1" w:val="04A0"/>
      </w:tblPr>
      <w:tblGrid>
        <w:gridCol w:w="9648"/>
      </w:tblGrid>
      <w:tr>
        <w:trPr>
          <w:tblHeader w:val="true"/>
        </w:trPr>
        <w:tc>
          <w:tcPr>
            <w:tcW w:type="dxa" w:w="9648"/>
            <w:vAlign w:val="center"/>
            <w:shd w:fill="EAF3F7"/>
            <w:tcBorders>
              <w:start w:val="single" w:sz="14" w:color="2A8C82"/>
            </w:tcBorders>
            <w:tcMar>
              <w:top w:w="130" w:type="dxa"/>
              <w:start w:w="190" w:type="dxa"/>
              <w:bottom w:w="130" w:type="dxa"/>
              <w:end w:w="190" w:type="dxa"/>
            </w:tcMar>
          </w:tcPr>
          <w:p>
            <w:pPr>
              <w:spacing w:after="0"/>
            </w:pPr>
            <w:r>
              <w:rPr>
                <w:b/>
                <w:color w:val="173A5E"/>
              </w:rPr>
              <w:t xml:space="preserve">PREGUNTA CLÍNICA  </w:t>
            </w:r>
            <w:r>
              <w:t>¿Cómo incorporar sexualidad y género a la entrevista psiquiátrica con rigor, respeto y sin patologizar la diversidad?</w:t>
            </w:r>
          </w:p>
        </w:tc>
      </w:tr>
    </w:tbl>
    <w:p>
      <w:pPr>
        <w:spacing w:after="0"/>
      </w:pPr>
    </w:p>
    <w:tbl>
      <w:tblPr>
        <w:tblW w:type="auto" w:w="0"/>
        <w:jc w:val="center"/>
        <w:tblLayout w:type="autofit"/>
        <w:tblLook w:firstColumn="1" w:firstRow="1" w:lastColumn="0" w:lastRow="0" w:noHBand="0" w:noVBand="1" w:val="04A0"/>
      </w:tblPr>
      <w:tblGrid>
        <w:gridCol w:w="9648"/>
      </w:tblGrid>
      <w:tr>
        <w:trPr>
          <w:tblHeader w:val="true"/>
        </w:trPr>
        <w:tc>
          <w:tcPr>
            <w:tcW w:type="dxa" w:w="9648"/>
            <w:vAlign w:val="center"/>
            <w:shd w:fill="EAF6F3"/>
            <w:tcBorders>
              <w:start w:val="single" w:sz="14" w:color="2A8C82"/>
            </w:tcBorders>
            <w:tcMar>
              <w:top w:w="130" w:type="dxa"/>
              <w:start w:w="190" w:type="dxa"/>
              <w:bottom w:w="130" w:type="dxa"/>
              <w:end w:w="190" w:type="dxa"/>
            </w:tcMar>
          </w:tcPr>
          <w:p>
            <w:pPr>
              <w:spacing w:after="0"/>
            </w:pPr>
            <w:r>
              <w:rPr>
                <w:b/>
                <w:color w:val="173A5E"/>
              </w:rPr>
              <w:t xml:space="preserve">IDEA CENTRAL  </w:t>
            </w:r>
            <w:r>
              <w:t>la salud sexual integra consentimiento, bienestar, placer, función y contexto. Orientación sexual e identidad de género no son trastornos; el malestar, la disfunción, la coerción y el riesgo sí requieren atención.</w:t>
            </w:r>
          </w:p>
        </w:tc>
      </w:tr>
    </w:tbl>
    <w:p>
      <w:pPr>
        <w:spacing w:after="0"/>
      </w:pPr>
    </w:p>
    <w:p>
      <w:pPr>
        <w:pStyle w:val="Heading1"/>
      </w:pPr>
      <w:r>
        <w:t>Por qué importa</w:t>
      </w:r>
    </w:p>
    <w:p>
      <w:r>
        <w:t>La función sexual rara vez se pregunta antes de prescribir, aunque muchos psicofármacos pueden alterarla. La omisión deteriora adherencia y calidad de vida. Al mismo tiempo, personas lesbianas, gays, bisexuales, trans o no binarias pueden recibir atención marcada por supuestos, revelación no autorizada o atribución de todo malestar a su identidad.</w:t>
      </w:r>
    </w:p>
    <w:p>
      <w:r>
        <w:t>Una entrevista pertinente no es intrusiva si se explica su propósito, se pide permiso y sólo se recopila lo necesario. El clínico debe separar variación humana, disfunción, riesgo y delito; estos conceptos no son equivalentes.</w:t>
      </w:r>
    </w:p>
    <w:p>
      <w:pPr>
        <w:pStyle w:val="Heading1"/>
      </w:pPr>
      <w:r>
        <w:t>Objetivos de aprendizaje</w:t>
      </w:r>
    </w:p>
    <w:p>
      <w:pPr>
        <w:keepNext/>
      </w:pPr>
      <w:r>
        <w:t>Al finalizar esta lectura, el estudiante podrá:</w:t>
      </w:r>
    </w:p>
    <w:p>
      <w:pPr>
        <w:spacing w:after="60" w:line="288" w:lineRule="auto"/>
        <w:ind w:left="432" w:hanging="216"/>
      </w:pPr>
      <w:r>
        <w:t>1. Obtener una historia sexual clínica sin asumir prácticas o identidades.</w:t>
      </w:r>
    </w:p>
    <w:p>
      <w:pPr>
        <w:spacing w:after="60" w:line="288" w:lineRule="auto"/>
        <w:ind w:left="432" w:hanging="216"/>
      </w:pPr>
      <w:r>
        <w:t>2. Evaluar deseo, excitación, orgasmo, eyaculación y dolor.</w:t>
      </w:r>
    </w:p>
    <w:p>
      <w:pPr>
        <w:spacing w:after="60" w:line="288" w:lineRule="auto"/>
        <w:ind w:left="432" w:hanging="216"/>
      </w:pPr>
      <w:r>
        <w:t>3. Reconocer causas médicas, relacionales, psiquiátricas y farmacológicas.</w:t>
      </w:r>
    </w:p>
    <w:p>
      <w:pPr>
        <w:spacing w:after="60" w:line="288" w:lineRule="auto"/>
        <w:ind w:left="432" w:hanging="216"/>
      </w:pPr>
      <w:r>
        <w:t>4. Prevenir y manejar efectos sexuales de psicofármacos.</w:t>
      </w:r>
    </w:p>
    <w:p>
      <w:pPr>
        <w:spacing w:after="60" w:line="288" w:lineRule="auto"/>
        <w:ind w:left="432" w:hanging="216"/>
      </w:pPr>
      <w:r>
        <w:t>5. Brindar atención afirmativa y confidencial a personas diversas.</w:t>
      </w:r>
    </w:p>
    <w:p>
      <w:pPr>
        <w:spacing w:after="60" w:line="288" w:lineRule="auto"/>
        <w:ind w:left="432" w:hanging="216"/>
      </w:pPr>
      <w:r>
        <w:t>6. Diferenciar interés atípico, trastorno parafílico y riesgo concreto.</w:t>
      </w:r>
    </w:p>
    <w:p>
      <w:pPr>
        <w:pStyle w:val="Heading1"/>
      </w:pPr>
      <w:r>
        <w:t>Casos clínicos</w:t>
      </w:r>
    </w:p>
    <w:p>
      <w:pPr>
        <w:shd w:fill="EAF3F7"/>
        <w:keepNext/>
        <w:keepLines/>
        <w:pBdr>
          <w:left w:val="single" w:sz="8" w:space="8" w:color="246B8E"/>
        </w:pBdr>
        <w:ind w:left="173" w:right="86"/>
      </w:pPr>
      <w:r>
        <w:t>Elisa, de 36 años, tiene depresión en remisión con sertralina, pero presenta bajo deseo y anorgasmia. Nunca se documentó su función sexual basal. Martín, hombre trans de 24 años, consulta por ansiedad tras discriminación laboral. El equipo atribuye el sufrimiento a su identidad y sigue usando su nombre registral pese a conocer el social.</w:t>
      </w:r>
    </w:p>
    <w:p>
      <w:pPr>
        <w:shd w:fill="EAF3F7"/>
        <w:keepLines/>
        <w:pBdr>
          <w:left w:val="single" w:sz="8" w:space="8" w:color="246B8E"/>
        </w:pBdr>
        <w:ind w:left="173" w:right="86"/>
      </w:pPr>
      <w:r>
        <w:t>En Elisa habrá que balancear remisión y efecto adverso; en Martín, reconocer discriminación y evaluar ansiedad sin patologizar identidad. En ambos casos, preguntar y decidir con la persona es parte del tratamiento.</w:t>
      </w:r>
    </w:p>
    <w:p>
      <w:pPr>
        <w:pStyle w:val="Heading1"/>
      </w:pPr>
      <w:r>
        <w:t>Abrir la conversación</w:t>
      </w:r>
    </w:p>
    <w:p>
      <w:r>
        <w:t>Se explica por qué se pregunta: “La salud mental y los medicamentos pueden afectar la sexualidad. ¿Te parece que conversemos?”. Se exploran parejas, prácticas, protección frente a embarazo e infecciones, experiencias satisfactorias y dificultades; deseo, excitación, orgasmo, dolor, inicio, curso y contexto. Se pregunta por consentimiento, coerción, violencia y seguridad.</w:t>
      </w:r>
    </w:p>
    <w:p>
      <w:r>
        <w:t>El lenguaje anatómico debe ser preciso sin inferir anatomía, orientación, monogamia o actividad sexual desde el nombre o identidad. Preguntar “¿tienes relaciones con hombres, mujeres, personas de otros géneros o con nadie actualmente?” puede ser más útil que clasificar antes de conocer prácticas. El modelo PLISSIT organiza niveles: dar permiso para hablar, ofrecer información limitada, sugerencias específicas y derivación a terapia intensiva.</w:t>
      </w:r>
    </w:p>
    <w:p>
      <w:r>
        <w:t>La privacidad importa. La información sobre orientación, prácticas o identidad no se revela a familia, pareja, empleador u otro equipo sin autorización, salvo una excepción legal concreta. Incluso dentro del equipo sólo se comparte lo pertinente para la atención. En teleatención se verifica si la persona puede hablar en privado; en sala de espera se evita llamar por un nombre que exponga una historia registral que la persona no desea revelar.</w:t>
      </w:r>
    </w:p>
    <w:p>
      <w:pPr>
        <w:pStyle w:val="Heading1"/>
      </w:pPr>
      <w:r>
        <w:t>Disfunciones sexuales y diagnóstico diferencial</w:t>
      </w:r>
    </w:p>
    <w:p>
      <w:r>
        <w:t>Las dificultades pueden afectar interés o deseo, excitación o erección, orgasmo, eyaculación y dolor genitopélvico. Para diagnosticar un trastorno se consideran persistencia, malestar y contexto; una variación sin sufrimiento no requiere patologización. Se establece si es de toda la vida o adquirida, generalizada o situacional, y si ocurre con todas las prácticas o relaciones.</w:t>
      </w:r>
    </w:p>
    <w:p>
      <w:r>
        <w:t>El diferencial incluye enfermedad vascular, diabetes, alteraciones endocrinas, neurología, dolor, menopausia y cirugía. Depresión, ansiedad de desempeño, trauma, conflictos relacionales y sustancias también influyen. Entre los fármacos relevantes están antidepresivos serotoninérgicos, antipsicóticos —por prolactina, sedación u otros mecanismos—, opioides y algunos antihipertensivos.</w:t>
      </w:r>
    </w:p>
    <w:p>
      <w:r>
        <w:t>El examen físico y laboratorio responden a hipótesis; no existe un panel hormonal universal. Dolor genitopélvico necesita enfoque ginecológico o urológico, evaluación del piso pélvico y componentes psicológicos. “Es ansiedad” no debe cerrar la búsqueda de una causa tratable.</w:t>
      </w:r>
    </w:p>
    <w:p>
      <w:pPr>
        <w:pStyle w:val="Heading1"/>
      </w:pPr>
      <w:r>
        <w:t>Manejo y efectos de psicofármacos</w:t>
      </w:r>
    </w:p>
    <w:p>
      <w:r>
        <w:t>El tratamiento puede incluir educación sexual, intervención de pareja, terapia sexual, manejo de enfermedad médica y modificación de factores perpetuantes. En disfunción eréctil seleccionada, los inhibidores de PDE5 exigen descartar nitratos y valorar riesgo cardiovascular. La fertilidad, anticoncepción y deseos reproductivos se incorporan cuando corresponda.</w:t>
      </w:r>
    </w:p>
    <w:p>
      <w:r>
        <w:t>Para prevenir iatrogenia, se documenta función sexual basal antes de iniciar un fármaco y se pregunta en seguimiento. Ante disfunción asociada a un antidepresivo se confirma temporalidad, se descartan otras causas y se discuten opciones: observar si es reciente, ajustar dosis, cambiar a otro tratamiento o agregar una estrategia con evidencia para el problema específico. No se interrumpe abruptamente un medicamento eficaz ni se promete que un “antídoto” servirá para todos.</w:t>
      </w:r>
    </w:p>
    <w:p>
      <w:r>
        <w:t>La decisión es compartida. Algunas personas priorizan la remisión y toleran un efecto; otras abandonarán el fármaco si no se conversa. En Elisa puede considerarse un ajuste prudente conservando un plan para detectar recaída.</w:t>
      </w:r>
    </w:p>
    <w:p>
      <w:pPr>
        <w:pStyle w:val="Heading1"/>
      </w:pPr>
      <w:r>
        <w:t>Diversidad sexual y de género</w:t>
      </w:r>
    </w:p>
    <w:p>
      <w:r>
        <w:t>Orientación sexual, identidad de género, expresión y características sexuales son dimensiones diferentes. Ser lesbiana, gay, bisexual, trans, no binario o presentar variaciones de las características sexuales no constituye enfermedad. El malestar puede relacionarse con incongruencia o disforia, cambios corporales, discriminación, violencia o un trastorno coexistente; no se presume una sola causa.</w:t>
      </w:r>
    </w:p>
    <w:p>
      <w:r>
        <w:t>Las clasificaciones deben leerse con precisión. La CIE-11 ubicó la incongruencia de género fuera del capítulo de trastornos mentales, en condiciones relacionadas con la salud sexual. El DSM-5-TR conserva “disforia de género” para un patrón asociado a malestar o deterioro clínicamente significativo; no diagnostica la identidad trans. Una persona puede requerir apoyo o atención de afirmación de género sin presentar un trastorno psiquiátrico, y puede tener depresión, psicosis o TOC que deben evaluarse por sus propios criterios.</w:t>
      </w:r>
    </w:p>
    <w:p>
      <w:r>
        <w:t>Atención afirmativa significa usar nombre y pronombres indicados, respetar privacidad, reconocer determinantes de salud y ofrecer información sin coerción. Tampoco omite la evaluación clínica habitual: hormonización y cirugía requieren profesionales competentes, consentimiento informado y coordinación según la intervención. El interno no improvisa esquemas ni suspende un tratamiento estable sin discutir con el equipo responsable.</w:t>
      </w:r>
    </w:p>
    <w:p>
      <w:r>
        <w:t>Las llamadas terapias de conversión carecen de fundamento y son dañinas. La evaluación de depresión, trauma, consumo o suicidio se hace con el mismo rigor que en cualquier persona, incorporando exposición a rechazo y violencia. El riesgo no es inherente a la identidad: pueden contribuir rechazo, precariedad, barreras de acceso y violencia, sin excluir otros determinantes clínicos.</w:t>
      </w:r>
    </w:p>
    <w:p>
      <w:r>
        <w:t>En Chile, la Ley 21.120 reconoce y protege el derecho a la identidad de género. Entre sus principios están no patologización, no discriminación arbitraria, confidencialidad y dignidad en el trato; no exige intervenciones corporales para reconocer ese derecho. En la ficha se registra el nombre y pronombres indicados de forma visible para la atención, manteniendo identificadores legales sólo donde sean necesarios para vinculación segura de registros y trámites. La normativa del formulario GES incorpora un campo de nombre social y dispone preguntar cómo desea ser inscrita y tratada la persona si no lo ha señalado. Esta práctica mejora seguridad y no reemplaza la verificación clínica de identidad del paciente.</w:t>
      </w:r>
    </w:p>
    <w:p>
      <w:pPr>
        <w:pStyle w:val="Heading1"/>
      </w:pPr>
      <w:r>
        <w:t>Consentimiento, parafilias y riesgo</w:t>
      </w:r>
    </w:p>
    <w:p>
      <w:r>
        <w:t>Un interés sexual atípico no equivale automáticamente a trastorno parafílico. El diagnóstico requiere malestar o deterioro clínicamente significativo, o actos o riesgo que involucren a personas no consentidoras, según la categoría. Fantasía, conducta, diagnóstico y delito son conceptos distintos.</w:t>
      </w:r>
    </w:p>
    <w:p>
      <w:r>
        <w:t>Se evalúan control de impulsos, planificación, acceso, consumo, comorbilidad y riesgo concreto. No se promete secreto absoluto: si emerge una situación que activa deberes legales o protección de terceros, se consulta supervisión y normativa aplicable, revelando sólo lo necesario. En preguntas forenses conviene separar rol tratante de pericial.</w:t>
      </w:r>
    </w:p>
    <w:p>
      <w:r>
        <w:t>La capacidad para consentimiento sexual es específica y contextual. Adolescencia, discapacidad intelectual, demencia o hospitalización no eliminan automáticamente sexualidad ni autonomía, pero exigen apoyos y protección frente a abuso. En manía o intoxicación se evalúan capacidad, coerción, embarazo, infecciones y vulnerabilidad.</w:t>
      </w:r>
    </w:p>
    <w:p>
      <w:r>
        <w:t>Martín debe ser atendido por su nombre, con registro que proteja privacidad. Su ansiedad se formula en relación con discriminación y otros factores posibles, no como consecuencia inevitable de ser trans.</w:t>
      </w:r>
    </w:p>
    <w:p>
      <w:pPr>
        <w:pStyle w:val="Heading1"/>
      </w:pPr>
      <w:r>
        <w:t>Errores frecuentes</w:t>
      </w:r>
    </w:p>
    <w:p>
      <w:pPr>
        <w:pStyle w:val="ListBullet"/>
      </w:pPr>
      <w:r>
        <w:t>No preguntar por función sexual antes o después de prescribir.</w:t>
      </w:r>
    </w:p>
    <w:p>
      <w:pPr>
        <w:pStyle w:val="ListBullet"/>
      </w:pPr>
      <w:r>
        <w:t>Asumir anatomía, práctica, orientación o monogamia por identidad.</w:t>
      </w:r>
    </w:p>
    <w:p>
      <w:pPr>
        <w:pStyle w:val="ListBullet"/>
      </w:pPr>
      <w:r>
        <w:t>Diagnosticar disfunción sin malestar ni contexto.</w:t>
      </w:r>
    </w:p>
    <w:p>
      <w:pPr>
        <w:pStyle w:val="ListBullet"/>
      </w:pPr>
      <w:r>
        <w:t>Suspender un antidepresivo eficaz de manera abrupta.</w:t>
      </w:r>
    </w:p>
    <w:p>
      <w:pPr>
        <w:pStyle w:val="ListBullet"/>
      </w:pPr>
      <w:r>
        <w:t>Patologizar diversidad o confundir atención afirmativa con ausencia de evaluación.</w:t>
      </w:r>
    </w:p>
    <w:p>
      <w:pPr>
        <w:pStyle w:val="ListBullet"/>
      </w:pPr>
      <w:r>
        <w:t>Confundir fantasía, trastorno parafílico, conducta y delito.</w:t>
      </w:r>
    </w:p>
    <w:p>
      <w:pPr>
        <w:pStyle w:val="Heading1"/>
      </w:pPr>
      <w:r>
        <w:t>Para recordar</w:t>
      </w:r>
    </w:p>
    <w:p>
      <w:pPr>
        <w:spacing w:after="60" w:line="288" w:lineRule="auto"/>
        <w:ind w:left="432" w:hanging="216"/>
        <w:shd w:fill="EAF6F3"/>
        <w:keepNext/>
        <w:keepLines/>
        <w:pBdr>
          <w:left w:val="single" w:sz="8" w:space="8" w:color="2A8C82"/>
        </w:pBdr>
      </w:pPr>
      <w:r>
        <w:t>1. Pedir permiso y explicar el propósito facilita una historia sexual útil.</w:t>
      </w:r>
    </w:p>
    <w:p>
      <w:pPr>
        <w:spacing w:after="60" w:line="288" w:lineRule="auto"/>
        <w:ind w:left="432" w:hanging="216"/>
        <w:shd w:fill="EAF6F3"/>
        <w:keepNext/>
        <w:keepLines/>
        <w:pBdr>
          <w:left w:val="single" w:sz="8" w:space="8" w:color="2A8C82"/>
        </w:pBdr>
      </w:pPr>
      <w:r>
        <w:t>2. La función sexual tiene determinantes médicos, psicológicos, relacionales y farmacológicos.</w:t>
      </w:r>
    </w:p>
    <w:p>
      <w:pPr>
        <w:spacing w:after="60" w:line="288" w:lineRule="auto"/>
        <w:ind w:left="432" w:hanging="216"/>
        <w:shd w:fill="EAF6F3"/>
        <w:keepNext/>
        <w:keepLines/>
        <w:pBdr>
          <w:left w:val="single" w:sz="8" w:space="8" w:color="2A8C82"/>
        </w:pBdr>
      </w:pPr>
      <w:r>
        <w:t>3. Los efectos sexuales deben medirse antes y durante el tratamiento.</w:t>
      </w:r>
    </w:p>
    <w:p>
      <w:pPr>
        <w:spacing w:after="60" w:line="288" w:lineRule="auto"/>
        <w:ind w:left="432" w:hanging="216"/>
        <w:shd w:fill="EAF6F3"/>
        <w:keepNext/>
        <w:keepLines/>
        <w:pBdr>
          <w:left w:val="single" w:sz="8" w:space="8" w:color="2A8C82"/>
        </w:pBdr>
      </w:pPr>
      <w:r>
        <w:t>4. Diversidad no es patología; discriminación sí puede afectar salud.</w:t>
      </w:r>
    </w:p>
    <w:p>
      <w:pPr>
        <w:spacing w:after="60" w:line="288" w:lineRule="auto"/>
        <w:ind w:left="432" w:hanging="216"/>
        <w:shd w:fill="EAF6F3"/>
        <w:keepLines/>
        <w:pBdr>
          <w:left w:val="single" w:sz="8" w:space="8" w:color="2A8C82"/>
        </w:pBdr>
      </w:pPr>
      <w:r>
        <w:t>5. Consentimiento, confidencialidad y riesgo concreto organizan la conducta clínica.</w:t>
      </w:r>
    </w:p>
    <w:p>
      <w:pPr>
        <w:pStyle w:val="Heading1"/>
      </w:pPr>
      <w:r>
        <w:t>Bibliografía esencial</w:t>
      </w:r>
    </w:p>
    <w:p>
      <w:pPr>
        <w:pStyle w:val="Bibliography"/>
      </w:pPr>
      <w:r>
        <w:t xml:space="preserve">1. World Health Organization. </w:t>
      </w:r>
      <w:r>
        <w:rPr>
          <w:i/>
        </w:rPr>
        <w:t>Gender incongruence and transgender health in the ICD-11</w:t>
      </w:r>
      <w:r>
        <w:t xml:space="preserve">. WHO. </w:t>
      </w:r>
      <w:hyperlink r:id="rId130">
        <w:r>
          <w:rPr>
            <w:color w:val="246B8E"/>
            <w:u w:val="single"/>
          </w:rPr>
          <w:t>Información oficial</w:t>
        </w:r>
      </w:hyperlink>
      <w:r>
        <w:t>.</w:t>
      </w:r>
    </w:p>
    <w:p>
      <w:pPr>
        <w:pStyle w:val="Bibliography"/>
      </w:pPr>
      <w:r>
        <w:t xml:space="preserve">2. American Psychiatric Association. </w:t>
      </w:r>
      <w:r>
        <w:rPr>
          <w:i/>
        </w:rPr>
        <w:t>Diagnostic and Statistical Manual of Mental Disorders: DSM-5-TR</w:t>
      </w:r>
      <w:r>
        <w:t>. American Psychiatric Association Publishing; 2022.</w:t>
      </w:r>
    </w:p>
    <w:p>
      <w:pPr>
        <w:pStyle w:val="Bibliography"/>
      </w:pPr>
      <w:r>
        <w:t xml:space="preserve">3. World Professional Association for Transgender Health. Standards of Care for the Health of Transgender and Gender Diverse People, Version 8. </w:t>
      </w:r>
      <w:r>
        <w:rPr>
          <w:i/>
        </w:rPr>
        <w:t>International Journal of Transgender Health</w:t>
      </w:r>
      <w:r>
        <w:t xml:space="preserve">. 2022;23(sup1):S1-S259. </w:t>
      </w:r>
      <w:hyperlink r:id="rId131">
        <w:r>
          <w:rPr>
            <w:color w:val="246B8E"/>
            <w:u w:val="single"/>
          </w:rPr>
          <w:t>Texto</w:t>
        </w:r>
      </w:hyperlink>
      <w:r>
        <w:t>.</w:t>
      </w:r>
    </w:p>
    <w:p>
      <w:pPr>
        <w:pStyle w:val="Bibliography"/>
      </w:pPr>
      <w:r>
        <w:t xml:space="preserve">4. Taylor MJ, Rudkin L, Bullemor-Day P, Lubin J, Chukwujekwu C, Hawton K. Strategies for managing sexual dysfunction induced by antidepressant medication. </w:t>
      </w:r>
      <w:r>
        <w:rPr>
          <w:i/>
        </w:rPr>
        <w:t>Cochrane Database of Systematic Reviews</w:t>
      </w:r>
      <w:r>
        <w:t>. 2013;5:CD003382.</w:t>
      </w:r>
    </w:p>
    <w:p>
      <w:pPr>
        <w:pStyle w:val="Bibliography"/>
      </w:pPr>
      <w:r>
        <w:t xml:space="preserve">5. Chile. Ley N.º 21.120, reconoce y da protección al derecho a la identidad de género. 2018. </w:t>
      </w:r>
      <w:hyperlink r:id="rId132">
        <w:r>
          <w:rPr>
            <w:color w:val="246B8E"/>
            <w:u w:val="single"/>
          </w:rPr>
          <w:t>Texto oficial</w:t>
        </w:r>
      </w:hyperlink>
      <w:r>
        <w:t>.</w:t>
      </w:r>
    </w:p>
    <w:p>
      <w:pPr>
        <w:pStyle w:val="Bibliography"/>
      </w:pPr>
      <w:r>
        <w:t xml:space="preserve">6. Superintendencia de Salud de Chile. Circular IF/N.º 451, actualiza el Formulario de Constancia de Información al Paciente GES e incorpora el campo “Nombre Social”. 2023; vigencia 2024. </w:t>
      </w:r>
      <w:hyperlink r:id="rId133">
        <w:r>
          <w:rPr>
            <w:color w:val="246B8E"/>
            <w:u w:val="single"/>
          </w:rPr>
          <w:t>Circular</w:t>
        </w:r>
      </w:hyperlink>
      <w:r>
        <w:t>.</w:t>
      </w:r>
    </w:p>
    <w:p>
      <w:r>
        <w:br w:type="page"/>
      </w:r>
    </w:p>
    <w:p>
      <w:pPr>
        <w:spacing w:after="480"/>
      </w:pPr>
      <w:r>
        <w:rPr>
          <w:rFonts w:ascii="Calibri" w:hAnsi="Calibri"/>
          <w:b/>
          <w:color w:val="2A8C82"/>
          <w:sz w:val="20"/>
        </w:rPr>
        <w:t>CAPÍTULO 45 · MATERIAL PARA ESTUDIANTES</w:t>
      </w:r>
    </w:p>
    <w:tbl>
      <w:tblPr>
        <w:tblW w:type="auto" w:w="0"/>
        <w:jc w:val="left"/>
        <w:tblLayout w:type="fixed"/>
        <w:tblLook w:firstColumn="1" w:firstRow="1" w:lastColumn="0" w:lastRow="0" w:noHBand="0" w:noVBand="1" w:val="04A0"/>
      </w:tblPr>
      <w:tblGrid>
        <w:gridCol w:w="9648"/>
      </w:tblGrid>
      <w:tr>
        <w:trPr>
          <w:tblHeader w:val="true"/>
        </w:trPr>
        <w:tc>
          <w:tcPr>
            <w:tcW w:type="dxa" w:w="9072"/>
            <w:shd w:fill="173A5E"/>
            <w:tcMar>
              <w:top w:w="120" w:type="dxa"/>
              <w:start w:w="220" w:type="dxa"/>
              <w:bottom w:w="120" w:type="dxa"/>
              <w:end w:w="220" w:type="dxa"/>
            </w:tcMar>
          </w:tcPr>
          <w:p>
            <w:pPr>
              <w:spacing w:after="0"/>
            </w:pPr>
            <w:r>
              <w:rPr>
                <w:rFonts w:ascii="Calibri" w:hAnsi="Calibri"/>
                <w:b/>
                <w:color w:val="FFFFFF"/>
                <w:sz w:val="19"/>
              </w:rPr>
              <w:t>MÓDULO II · PATOLOGÍAS, GES Y TRATAMIENTOS</w:t>
            </w:r>
          </w:p>
        </w:tc>
      </w:tr>
    </w:tbl>
    <w:p>
      <w:pPr>
        <w:pStyle w:val="Title"/>
        <w:spacing w:before="520" w:after="360"/>
        <w:outlineLvl w:val="0"/>
      </w:pPr>
      <w:bookmarkStart w:id="1045" w:name="chapter_45"/>
      <w:r>
        <w:t>Salud mental perinatal: embarazo, puerperio y lactancia</w:t>
      </w:r>
      <w:bookmarkEnd w:id="1045"/>
    </w:p>
    <w:p>
      <w:pPr>
        <w:spacing w:after="80"/>
      </w:pPr>
      <w:r>
        <w:rPr>
          <w:rFonts w:ascii="Calibri" w:hAnsi="Calibri"/>
          <w:b/>
          <w:color w:val="246B8E"/>
          <w:sz w:val="26"/>
        </w:rPr>
        <w:t>Programa de Psiquiatría para internos de Medicina</w:t>
      </w:r>
    </w:p>
    <w:p>
      <w:r>
        <w:rPr>
          <w:rFonts w:ascii="Calibri" w:hAnsi="Calibri"/>
          <w:color w:val="6B7280"/>
          <w:sz w:val="22"/>
        </w:rPr>
        <w:t>Lectura complementaria · Chile · Versión final para revisión humana · 2026</w:t>
      </w:r>
    </w:p>
    <w:p/>
    <w:p/>
    <w:p/>
    <w:p/>
    <w:p/>
    <w:tbl>
      <w:tblPr>
        <w:tblW w:type="auto" w:w="0"/>
        <w:jc w:val="left"/>
        <w:tblLayout w:type="fixed"/>
        <w:tblLook w:firstColumn="1" w:firstRow="1" w:lastColumn="0" w:lastRow="0" w:noHBand="0" w:noVBand="1" w:val="04A0"/>
      </w:tblPr>
      <w:tblGrid>
        <w:gridCol w:w="9648"/>
      </w:tblGrid>
      <w:tr>
        <w:trPr>
          <w:tblHeader w:val="true"/>
        </w:trPr>
        <w:tc>
          <w:tcPr>
            <w:tcW w:type="dxa" w:w="9648"/>
            <w:shd w:fill="F3F5F6"/>
            <w:tcBorders>
              <w:start w:val="single" w:sz="18" w:color="2A8C82"/>
            </w:tcBorders>
            <w:tcMar>
              <w:top w:w="160" w:type="dxa"/>
              <w:start w:w="220" w:type="dxa"/>
              <w:bottom w:w="160" w:type="dxa"/>
              <w:end w:w="220" w:type="dxa"/>
            </w:tcMar>
          </w:tcPr>
          <w:p>
            <w:pPr>
              <w:spacing w:after="0"/>
            </w:pPr>
            <w:r>
              <w:rPr>
                <w:rFonts w:ascii="Calibri" w:hAnsi="Calibri"/>
                <w:i/>
                <w:color w:val="6B7280"/>
                <w:sz w:val="18"/>
              </w:rPr>
              <w:t>Versión docente final para revisión humana. Material propuesto y contextualizado a Chile; no corresponde a un programa oficial de la Pontificia Universidad Católica de Chile ni sustituye protocolos locales, supervisión clínica o evaluación especializada. Fuentes revisadas al 15 de agosto de 2026.</w:t>
            </w:r>
          </w:p>
        </w:tc>
      </w:tr>
    </w:tbl>
    <w:p>
      <w:r>
        <w:br w:type="page"/>
      </w:r>
    </w:p>
    <w:tbl>
      <w:tblPr>
        <w:tblW w:type="auto" w:w="0"/>
        <w:jc w:val="center"/>
        <w:tblLayout w:type="autofit"/>
        <w:tblLook w:firstColumn="1" w:firstRow="1" w:lastColumn="0" w:lastRow="0" w:noHBand="0" w:noVBand="1" w:val="04A0"/>
      </w:tblPr>
      <w:tblGrid>
        <w:gridCol w:w="9648"/>
      </w:tblGrid>
      <w:tr>
        <w:trPr>
          <w:tblHeader w:val="true"/>
        </w:trPr>
        <w:tc>
          <w:tcPr>
            <w:tcW w:type="dxa" w:w="9648"/>
            <w:vAlign w:val="center"/>
            <w:shd w:fill="EAF3F7"/>
            <w:tcBorders>
              <w:start w:val="single" w:sz="14" w:color="2A8C82"/>
            </w:tcBorders>
            <w:tcMar>
              <w:top w:w="130" w:type="dxa"/>
              <w:start w:w="190" w:type="dxa"/>
              <w:bottom w:w="130" w:type="dxa"/>
              <w:end w:w="190" w:type="dxa"/>
            </w:tcMar>
          </w:tcPr>
          <w:p>
            <w:pPr>
              <w:spacing w:after="0"/>
            </w:pPr>
            <w:r>
              <w:rPr>
                <w:b/>
                <w:color w:val="173A5E"/>
              </w:rPr>
              <w:t xml:space="preserve">PREGUNTA CLÍNICA  </w:t>
            </w:r>
            <w:r>
              <w:t>¿Cómo equilibrar los riesgos de la enfermedad y del tratamiento durante embarazo y posparto sin abandonar, sobremedicalizar ni alarmar?</w:t>
            </w:r>
          </w:p>
        </w:tc>
      </w:tr>
    </w:tbl>
    <w:p>
      <w:pPr>
        <w:spacing w:after="0"/>
      </w:pPr>
    </w:p>
    <w:tbl>
      <w:tblPr>
        <w:tblW w:type="auto" w:w="0"/>
        <w:jc w:val="center"/>
        <w:tblLayout w:type="autofit"/>
        <w:tblLook w:firstColumn="1" w:firstRow="1" w:lastColumn="0" w:lastRow="0" w:noHBand="0" w:noVBand="1" w:val="04A0"/>
      </w:tblPr>
      <w:tblGrid>
        <w:gridCol w:w="9648"/>
      </w:tblGrid>
      <w:tr>
        <w:trPr>
          <w:tblHeader w:val="true"/>
        </w:trPr>
        <w:tc>
          <w:tcPr>
            <w:tcW w:type="dxa" w:w="9648"/>
            <w:vAlign w:val="center"/>
            <w:shd w:fill="EAF6F3"/>
            <w:tcBorders>
              <w:start w:val="single" w:sz="14" w:color="2A8C82"/>
            </w:tcBorders>
            <w:tcMar>
              <w:top w:w="130" w:type="dxa"/>
              <w:start w:w="190" w:type="dxa"/>
              <w:bottom w:w="130" w:type="dxa"/>
              <w:end w:w="190" w:type="dxa"/>
            </w:tcMar>
          </w:tcPr>
          <w:p>
            <w:pPr>
              <w:spacing w:after="0"/>
            </w:pPr>
            <w:r>
              <w:rPr>
                <w:b/>
                <w:color w:val="173A5E"/>
              </w:rPr>
              <w:t xml:space="preserve">IDEA CENTRAL  </w:t>
            </w:r>
            <w:r>
              <w:t>no existe una opción “sin exposición”. Una enfermedad psiquiátrica no tratada también expone a la persona gestante, al feto y al recién nacido; las decisiones deben ser individualizadas y coordinadas.</w:t>
            </w:r>
          </w:p>
        </w:tc>
      </w:tr>
    </w:tbl>
    <w:p>
      <w:pPr>
        <w:spacing w:after="0"/>
      </w:pPr>
    </w:p>
    <w:p>
      <w:pPr>
        <w:pStyle w:val="Heading1"/>
      </w:pPr>
      <w:r>
        <w:t>Por qué importa</w:t>
      </w:r>
    </w:p>
    <w:p>
      <w:r>
        <w:t>Para esta lectura, el período perinatal abarca planificación preconcepcional, embarazo y hasta un año posparto, definición operativa usada por guías contemporáneas aunque los intervalos epidemiológicos pueden variar. Puede ser el momento de inicio o recaída de depresión, ansiedad, TOC, bipolaridad y psicosis. Suspender abruptamente un tratamiento al confirmar embarazo puede provocar una recaída más peligrosa que la exposición farmacológica que se intentaba evitar.</w:t>
      </w:r>
    </w:p>
    <w:p>
      <w:r>
        <w:t>El riesgo debe comunicarse en términos absolutos y comparativos, incorporando preferencias, respuesta previa y gravedad. La psicosis posparto es una emergencia; los pensamientos intrusivos egodistónicos del TOC perinatal, en cambio, no equivalen por sí solos a intención de dañar.</w:t>
      </w:r>
    </w:p>
    <w:p>
      <w:pPr>
        <w:pStyle w:val="Heading1"/>
      </w:pPr>
      <w:r>
        <w:t>Objetivos de aprendizaje</w:t>
      </w:r>
    </w:p>
    <w:p>
      <w:pPr>
        <w:keepNext/>
      </w:pPr>
      <w:r>
        <w:t>Al finalizar esta lectura, el estudiante podrá:</w:t>
      </w:r>
    </w:p>
    <w:p>
      <w:pPr>
        <w:spacing w:after="60" w:line="288" w:lineRule="auto"/>
        <w:ind w:left="432" w:hanging="216"/>
      </w:pPr>
      <w:r>
        <w:t>1. Evaluar salud mental desde preconcepción hasta un año posparto.</w:t>
      </w:r>
    </w:p>
    <w:p>
      <w:pPr>
        <w:spacing w:after="60" w:line="288" w:lineRule="auto"/>
        <w:ind w:left="432" w:hanging="216"/>
      </w:pPr>
      <w:r>
        <w:t>2. Reconocer depresión, ansiedad, TOC, bipolaridad y psicosis perinatal.</w:t>
      </w:r>
    </w:p>
    <w:p>
      <w:pPr>
        <w:spacing w:after="60" w:line="288" w:lineRule="auto"/>
        <w:ind w:left="432" w:hanging="216"/>
      </w:pPr>
      <w:r>
        <w:t>3. Diferenciar intrusiones egodistónicas de intención o convicción psicótica.</w:t>
      </w:r>
    </w:p>
    <w:p>
      <w:pPr>
        <w:spacing w:after="60" w:line="288" w:lineRule="auto"/>
        <w:ind w:left="432" w:hanging="216"/>
      </w:pPr>
      <w:r>
        <w:t>4. Formular riesgo suicida, de daño, médico y de cuidado.</w:t>
      </w:r>
    </w:p>
    <w:p>
      <w:pPr>
        <w:spacing w:after="60" w:line="288" w:lineRule="auto"/>
        <w:ind w:left="432" w:hanging="216"/>
      </w:pPr>
      <w:r>
        <w:t>5. Aplicar principios de psicofarmacología en embarazo y lactancia.</w:t>
      </w:r>
    </w:p>
    <w:p>
      <w:pPr>
        <w:spacing w:after="60" w:line="288" w:lineRule="auto"/>
        <w:ind w:left="432" w:hanging="216"/>
      </w:pPr>
      <w:r>
        <w:t>6. Coordinar un plan perinatal y una ruta de urgencia.</w:t>
      </w:r>
    </w:p>
    <w:p>
      <w:pPr>
        <w:pStyle w:val="Heading1"/>
      </w:pPr>
      <w:r>
        <w:t>Caso clínico</w:t>
      </w:r>
    </w:p>
    <w:p>
      <w:pPr>
        <w:shd w:fill="EAF3F7"/>
        <w:keepNext/>
        <w:keepLines/>
        <w:pBdr>
          <w:left w:val="single" w:sz="8" w:space="8" w:color="246B8E"/>
        </w:pBdr>
        <w:ind w:left="173" w:right="86"/>
      </w:pPr>
      <w:r>
        <w:t>Valentina, de 30 años, con trastorno bipolar I estable con litio, lo suspende por su cuenta al confirmar embarazo. En el tercer trimestre desarrolla depresión. Diez días después del parto duerme dos horas, escucha una voz divina y cree que su hija posee una misión especial. Su familia interpreta el cuadro como “baby blues”.</w:t>
      </w:r>
    </w:p>
    <w:p>
      <w:pPr>
        <w:shd w:fill="EAF3F7"/>
        <w:keepLines/>
        <w:pBdr>
          <w:left w:val="single" w:sz="8" w:space="8" w:color="246B8E"/>
        </w:pBdr>
        <w:ind w:left="173" w:right="86"/>
      </w:pPr>
      <w:r>
        <w:t>El inicio brusco, insomnio, activación y psicosis configuran una urgencia. Valentina no debe quedar sola a cargo de la recién nacida mientras se organiza evaluación médica, hospitalización y tratamiento especializado.</w:t>
      </w:r>
    </w:p>
    <w:p>
      <w:pPr>
        <w:pStyle w:val="Heading1"/>
      </w:pPr>
      <w:r>
        <w:t>Evaluación perinatal</w:t>
      </w:r>
    </w:p>
    <w:p>
      <w:r>
        <w:t>Se revisan antecedentes de bipolaridad, psicosis posparto, depresión grave, suicidio, hospitalización, respuesta y recaídas tras suspensiones. Se pregunta por planificación del embarazo, pérdidas, infertilidad, parto traumático, prematuridad, apoyo, violencia, coerción reproductiva y condiciones materiales.</w:t>
      </w:r>
    </w:p>
    <w:p>
      <w:r>
        <w:t>La evaluación actual incluye sueño, alimentación, sustancias, adherencia, vínculo y capacidad de cuidado. Se pregunta directamente por pensamientos de muerte, daño al bebé, voces, creencias extrañas, desorganización y acceso a medios. Una escala como EPDS facilita pesquisa y seguimiento, pero no establece diagnóstico ni distingue depresión unipolar de bipolaridad.</w:t>
      </w:r>
    </w:p>
    <w:p>
      <w:r>
        <w:t>En toda depresión perinatal se exploran historia de hipomanía o manía, antecedentes familiares y menor necesidad de dormir. El sueño está fragmentado en el posparto normal; lo alarmante es dormir muy poco sin cansancio, con activación o cambios conductuales.</w:t>
      </w:r>
    </w:p>
    <w:p>
      <w:pPr>
        <w:pStyle w:val="Heading1"/>
      </w:pPr>
      <w:r>
        <w:t>Depresión, ansiedad y TOC</w:t>
      </w:r>
    </w:p>
    <w:p>
      <w:r>
        <w:t>La depresión incluye ánimo bajo o irritabilidad, anhedonia, culpa, desesperanza y deterioro que exceden los cambios esperables. El “baby blues” suele aparecer en los primeros días, con labilidad leve y autolimitada, sin psicosis ni compromiso grave. Si hay ideas suicidas, incapacidad de cuidado, síntomas psicóticos o persistencia significativa, no corresponde ese rótulo.</w:t>
      </w:r>
    </w:p>
    <w:p>
      <w:r>
        <w:t>Ansiedad, pánico y trauma relacionado con parto pueden causar sufrimiento intenso. En TOC perinatal pueden aparecer imágenes o impulsos intrusivos de daño, vividos como no deseados, angustiantes y resistidos. La persona suele evitar al bebé o pedir supervisión por miedo a actuar. Preguntar no aumenta el riesgo.</w:t>
      </w:r>
    </w:p>
    <w:p>
      <w:r>
        <w:t>En psicosis hay pérdida de crítica, convicción delirante, alucinaciones o desorganización. Una orden percibida como externa o una creencia de que el bebé debe ser “salvado” tiene implicancias diferentes a una intrusión que la persona rechaza. No se separa automáticamente a madre y bebé por una obsesión egodistónica sin intención, pero tampoco se minimiza una idea psicótica.</w:t>
      </w:r>
    </w:p>
    <w:p>
      <w:pPr>
        <w:pStyle w:val="Heading1"/>
      </w:pPr>
      <w:r>
        <w:t>Bipolaridad y psicosis posparto</w:t>
      </w:r>
    </w:p>
    <w:p>
      <w:r>
        <w:t>El posparto temprano es un período de alto riesgo de recaída bipolar. La psicosis posparto suele comenzar en días o semanas, con insomnio, activación, confusión, labilidad, manía, depresión o psicosis. Es una emergencia por riesgo impredecible de suicidio, daño o incapacidad de cuidado. Requiere evaluación inmediata el mismo día, no una interconsulta electiva; NICE operacionaliza esta urgencia como evaluación especializada dentro de cuatro horas, referencia útil de prioridad pero no una garantía administrativa chilena.</w:t>
      </w:r>
    </w:p>
    <w:p>
      <w:r>
        <w:t>Se realiza evaluación médica para causas obstétricas, endocrinas, neurológicas, infecciosas o tóxicas: preeclampsia/eclampsia, infección, alteraciones tiroideas, efectos farmacológicos, sustancias, epilepsia o encefalitis, según la presentación. La hospitalización es frecuente y, cuando existe un dispositivo seguro, se intenta preservar la díada madre-bebé. La seguridad prevalece sobre un ideal abstracto de vínculo. El tratamiento especializado puede incluir antipsicóticos, litio y terapia electroconvulsiva (TEC) en depresión grave, catatonía, manía o psicosis cuando se necesita respuesta rápida; la selección depende de cuadro, exposiciones, lactancia y estado médico.</w:t>
      </w:r>
    </w:p>
    <w:p>
      <w:r>
        <w:t>La familia recibe instrucciones concretas: acompañamiento continuo, protección del sueño, retiro de medios y traslado a urgencia. No se deja el cuidado exclusivo del recién nacido a la persona mientras persistan desorganización o riesgo.</w:t>
      </w:r>
    </w:p>
    <w:p>
      <w:pPr>
        <w:pStyle w:val="Heading1"/>
      </w:pPr>
      <w:r>
        <w:t>Psicofármacos durante el embarazo</w:t>
      </w:r>
    </w:p>
    <w:p>
      <w:r>
        <w:t>La decisión compartida integra diagnóstico, gravedad, recaídas, respuesta previa, trimestre, dosis, alternativas y preferencias. Se favorece monoterapia eficaz a la dosis mínima que realmente trate, evitando cambios innecesarios. Una dosis subterapéutica puede mantener riesgos sin prevenir enfermedad.</w:t>
      </w:r>
    </w:p>
    <w:p>
      <w:r>
        <w:t>Varios ISRS tienen experiencia amplia; se discuten riesgos absolutos, posible síndrome de adaptación neonatal y riesgos de la depresión no tratada, sin mensajes catastróficos. La respuesta previa suele pesar más que cambiar a un fármaco supuestamente “ideal” y perder estabilidad. El litio tiene un riesgo teratogénico absoluto menor de lo que se comunicó históricamente, pero conserva una señal de malformaciones cardíacas: requiere planificación, niveles, función renal y tiroidea, evaluación fetal detallada cuando hubo exposición y coordinación alrededor del parto. Sus concentraciones pueden disminuir durante el embarazo y elevarse rápidamente en el posparto; vómitos, deshidratación, preeclampsia y cambios renales obligan a reevaluar.</w:t>
      </w:r>
    </w:p>
    <w:p>
      <w:r>
        <w:t>Valproato no debe utilizarse durante el embarazo para tratar un trastorno mental y debe evitarse en personas con potencial de embarazo salvo que alternativas sean inadecuadas y se cumplan exigencias regulatorias estrictas, por su alto riesgo teratogénico y neuroevolutivo. Una exposición ya ocurrida amerita evaluación pronta, no suspensión abrupta sin plan. Carbamazepina también presenta riesgo teratogénico e interacciones. Con lamotrigina los niveles pueden disminuir durante el embarazo y elevarse rápidamente posparto; un nivel basal preconcepcional, cuando existe, y la clínica ayudan a ajustar y a prevenir toxicidad después del parto.</w:t>
      </w:r>
    </w:p>
    <w:p>
      <w:r>
        <w:t>Los antipsicóticos se eligen por respuesta previa y perfil; se vigilan peso, diabetes gestacional y efectos neonatales. Benzodiazepinas se reservan para indicaciones definidas, el menor tiempo y con evaluación de dependencia y sedación. Nunca se suspende automáticamente un tratamiento sólo por una prueba positiva de embarazo: se contacta pronto al equipo y se decide con información.</w:t>
      </w:r>
    </w:p>
    <w:p>
      <w:pPr>
        <w:pStyle w:val="Heading1"/>
      </w:pPr>
      <w:r>
        <w:t>Lactancia</w:t>
      </w:r>
    </w:p>
    <w:p>
      <w:r>
        <w:t>La evaluación considera paso a leche, dosis relativa, edad y salud del lactante, metabolismo, horario y necesidad materna. Prematuros o recién nacidos enfermos requieren mayor cautela. Se observan sedación, alimentación, aumento de peso, irritabilidad y efectos específicos.</w:t>
      </w:r>
    </w:p>
    <w:p>
      <w:r>
        <w:t>Algunos antidepresivos tienen exposición baja y experiencia favorable. El litio durante lactancia exige evaluación especializada y posibilidad real de monitorizar al lactante; no es correcto presentarlo como prohibición universal ni como opción trivialmente segura. Clozapina y otros fármacos de alto riesgo suelen llevar a buscar alternativas.</w:t>
      </w:r>
    </w:p>
    <w:p>
      <w:r>
        <w:t>La lactancia es una decisión informada, no una obligación. No se decide por una lista aislada de fármacos: se ponderan estabilidad materna, exposición intrauterina previa, beneficio de lactar, factibilidad de monitorización y alternativas. La privación de sueño puede precipitar manía; turnos de alimentación, apoyo nocturno o alimentación alternativa pueden ser intervenciones preventivas. Proteger salud materna también protege al bebé.</w:t>
      </w:r>
    </w:p>
    <w:p>
      <w:pPr>
        <w:pStyle w:val="Heading1"/>
      </w:pPr>
      <w:r>
        <w:t>Tratamientos no farmacológicos y red</w:t>
      </w:r>
    </w:p>
    <w:p>
      <w:r>
        <w:t>Psicoterapia interpersonal y cognitivo-conductual son opciones para depresión o ansiedad según gravedad. El plan incorpora apoyo práctico, sueño protegido, participación de pareja o familia con consentimiento y abordaje de violencia. En bipolaridad grave conviene un plan escrito desde el embarazo: signos tempranos, medicamentos, monitoreo, lactancia, apoyos y ruta de urgencia.</w:t>
      </w:r>
    </w:p>
    <w:p>
      <w:r>
        <w:t>La coordinación incluye obstetricia, psiquiatría, pediatría o neonatología, matronería y APS. La depresión confirmada desde los 15 años puede acceder a GES 34; el embarazo no excluye cobertura. El tratamiento GES se inicia de inmediato desde la confirmación y la consulta con especialista debe ocurrir dentro de 30 días desde la derivación. Estos son máximos administrativos: nunca justifican esperar ante una urgencia.</w:t>
      </w:r>
    </w:p>
    <w:p>
      <w:r>
        <w:t>Se documentan riesgos de tratar y no tratar, preferencias y responsabilidades. Capacidad y consentimiento se evalúan como en cualquier adulto. El temor a perder custodia puede inhibir revelación; una respuesta punitiva reduce seguridad. Cualquier separación se fundamenta en riesgo concreto, se revisa y se acompaña de un plan de reunificación cuando sea posible.</w:t>
      </w:r>
    </w:p>
    <w:p>
      <w:r>
        <w:t>Valentina requiere hospitalización urgente, protección de la díada, reinicio de tratamiento especializado y evaluación médica. Su cuadro no debe observarse en domicilio bajo la etiqueta de “baby blues”.</w:t>
      </w:r>
    </w:p>
    <w:p>
      <w:pPr>
        <w:pStyle w:val="Heading1"/>
      </w:pPr>
      <w:r>
        <w:t>Errores frecuentes</w:t>
      </w:r>
    </w:p>
    <w:p>
      <w:pPr>
        <w:pStyle w:val="ListBullet"/>
      </w:pPr>
      <w:r>
        <w:t>Suspender todos los fármacos al confirmar embarazo.</w:t>
      </w:r>
    </w:p>
    <w:p>
      <w:pPr>
        <w:pStyle w:val="ListBullet"/>
      </w:pPr>
      <w:r>
        <w:t>Comunicar riesgo relativo sin riesgo absoluto ni riesgo de no tratar.</w:t>
      </w:r>
    </w:p>
    <w:p>
      <w:pPr>
        <w:pStyle w:val="ListBullet"/>
      </w:pPr>
      <w:r>
        <w:t>Confundir pensamientos intrusivos egodistónicos con intención.</w:t>
      </w:r>
    </w:p>
    <w:p>
      <w:pPr>
        <w:pStyle w:val="ListBullet"/>
      </w:pPr>
      <w:r>
        <w:t>Llamar “baby blues” a una psicosis o no pesquisar bipolaridad.</w:t>
      </w:r>
    </w:p>
    <w:p>
      <w:pPr>
        <w:pStyle w:val="ListBullet"/>
      </w:pPr>
      <w:r>
        <w:t>Considerar lactancia obligatoria aunque precipite privación grave de sueño.</w:t>
      </w:r>
    </w:p>
    <w:p>
      <w:pPr>
        <w:pStyle w:val="ListBullet"/>
      </w:pPr>
      <w:r>
        <w:t>Esperar plazos GES frente a una emergencia.</w:t>
      </w:r>
    </w:p>
    <w:p>
      <w:pPr>
        <w:pStyle w:val="Heading1"/>
      </w:pPr>
      <w:r>
        <w:t>Para recordar</w:t>
      </w:r>
    </w:p>
    <w:p>
      <w:pPr>
        <w:spacing w:after="60" w:line="288" w:lineRule="auto"/>
        <w:ind w:left="432" w:hanging="216"/>
        <w:shd w:fill="EAF6F3"/>
        <w:keepNext/>
        <w:keepLines/>
        <w:pBdr>
          <w:left w:val="single" w:sz="8" w:space="8" w:color="2A8C82"/>
        </w:pBdr>
      </w:pPr>
      <w:r>
        <w:t>1. La enfermedad no tratada también es una exposición.</w:t>
      </w:r>
    </w:p>
    <w:p>
      <w:pPr>
        <w:spacing w:after="60" w:line="288" w:lineRule="auto"/>
        <w:ind w:left="432" w:hanging="216"/>
        <w:shd w:fill="EAF6F3"/>
        <w:keepNext/>
        <w:keepLines/>
        <w:pBdr>
          <w:left w:val="single" w:sz="8" w:space="8" w:color="2A8C82"/>
        </w:pBdr>
      </w:pPr>
      <w:r>
        <w:t>2. El posparto temprano es un período crítico para bipolaridad.</w:t>
      </w:r>
    </w:p>
    <w:p>
      <w:pPr>
        <w:spacing w:after="60" w:line="288" w:lineRule="auto"/>
        <w:ind w:left="432" w:hanging="216"/>
        <w:shd w:fill="EAF6F3"/>
        <w:keepNext/>
        <w:keepLines/>
        <w:pBdr>
          <w:left w:val="single" w:sz="8" w:space="8" w:color="2A8C82"/>
        </w:pBdr>
      </w:pPr>
      <w:r>
        <w:t>3. La psicosis posparto es una emergencia psiquiátrica y médica.</w:t>
      </w:r>
    </w:p>
    <w:p>
      <w:pPr>
        <w:spacing w:after="60" w:line="288" w:lineRule="auto"/>
        <w:ind w:left="432" w:hanging="216"/>
        <w:shd w:fill="EAF6F3"/>
        <w:keepNext/>
        <w:keepLines/>
        <w:pBdr>
          <w:left w:val="single" w:sz="8" w:space="8" w:color="2A8C82"/>
        </w:pBdr>
      </w:pPr>
      <w:r>
        <w:t>4. Una intrusión egodistónica no equivale por sí sola a intención de daño.</w:t>
      </w:r>
    </w:p>
    <w:p>
      <w:pPr>
        <w:spacing w:after="60" w:line="288" w:lineRule="auto"/>
        <w:ind w:left="432" w:hanging="216"/>
        <w:shd w:fill="EAF6F3"/>
        <w:keepLines/>
        <w:pBdr>
          <w:left w:val="single" w:sz="8" w:space="8" w:color="2A8C82"/>
        </w:pBdr>
      </w:pPr>
      <w:r>
        <w:t>5. Las decisiones deben ser individualizadas, compartidas y coordinadas.</w:t>
      </w:r>
    </w:p>
    <w:p>
      <w:pPr>
        <w:pStyle w:val="Heading1"/>
      </w:pPr>
      <w:r>
        <w:t>Bibliografía esencial</w:t>
      </w:r>
    </w:p>
    <w:p>
      <w:pPr>
        <w:pStyle w:val="Bibliography"/>
      </w:pPr>
      <w:r>
        <w:t xml:space="preserve">1. American College of Obstetricians and Gynecologists. Clinical Practice Guideline No. 5: Treatment and Management of Mental Health Conditions During Pregnancy and Postpartum. </w:t>
      </w:r>
      <w:r>
        <w:rPr>
          <w:i/>
        </w:rPr>
        <w:t>Obstetrics &amp; Gynecology</w:t>
      </w:r>
      <w:r>
        <w:t xml:space="preserve">. 2023;141:1262-1288. </w:t>
      </w:r>
      <w:hyperlink r:id="rId134">
        <w:r>
          <w:rPr>
            <w:color w:val="246B8E"/>
            <w:u w:val="single"/>
          </w:rPr>
          <w:t>Guía</w:t>
        </w:r>
      </w:hyperlink>
      <w:r>
        <w:t>.</w:t>
      </w:r>
    </w:p>
    <w:p>
      <w:pPr>
        <w:pStyle w:val="Bibliography"/>
      </w:pPr>
      <w:r>
        <w:t xml:space="preserve">2. National Institute for Health and Care Excellence. </w:t>
      </w:r>
      <w:r>
        <w:rPr>
          <w:i/>
        </w:rPr>
        <w:t>Antenatal and Postnatal Mental Health: Clinical Management and Service Guidance (CG192)</w:t>
      </w:r>
      <w:r>
        <w:t xml:space="preserve">. NICE; 2014, updated 2020. </w:t>
      </w:r>
      <w:hyperlink r:id="rId135">
        <w:r>
          <w:rPr>
            <w:color w:val="246B8E"/>
            <w:u w:val="single"/>
          </w:rPr>
          <w:t>Guía</w:t>
        </w:r>
      </w:hyperlink>
      <w:r>
        <w:t>.</w:t>
      </w:r>
    </w:p>
    <w:p>
      <w:pPr>
        <w:pStyle w:val="Bibliography"/>
      </w:pPr>
      <w:r>
        <w:t xml:space="preserve">3. National Institute for Health and Care Excellence. </w:t>
      </w:r>
      <w:r>
        <w:rPr>
          <w:i/>
        </w:rPr>
        <w:t>Bipolar Disorder: Assessment and Management (CG185)</w:t>
      </w:r>
      <w:r>
        <w:t xml:space="preserve">. NICE; 2014, updated 2025. </w:t>
      </w:r>
      <w:hyperlink r:id="rId136">
        <w:r>
          <w:rPr>
            <w:color w:val="246B8E"/>
            <w:u w:val="single"/>
          </w:rPr>
          <w:t>Guía</w:t>
        </w:r>
      </w:hyperlink>
      <w:r>
        <w:t>.</w:t>
      </w:r>
    </w:p>
    <w:p>
      <w:pPr>
        <w:pStyle w:val="Bibliography"/>
      </w:pPr>
      <w:r>
        <w:t xml:space="preserve">4. Howard LM, Khalifeh H. Perinatal mental health: a review of progress and challenges. </w:t>
      </w:r>
      <w:r>
        <w:rPr>
          <w:i/>
        </w:rPr>
        <w:t>World Psychiatry</w:t>
      </w:r>
      <w:r>
        <w:t>. 2020;19:313-327.</w:t>
      </w:r>
    </w:p>
    <w:p>
      <w:pPr>
        <w:pStyle w:val="Bibliography"/>
      </w:pPr>
      <w:r>
        <w:t xml:space="preserve">5. McAllister-Williams RH, Baldwin DS, Cantwell R, et al. British Association for Psychopharmacology consensus guidance on psychotropic medication in the perinatal period. </w:t>
      </w:r>
      <w:r>
        <w:rPr>
          <w:i/>
        </w:rPr>
        <w:t>Journal of Psychopharmacology</w:t>
      </w:r>
      <w:r>
        <w:t>. 2017;31:519-552.</w:t>
      </w:r>
    </w:p>
    <w:p>
      <w:pPr>
        <w:pStyle w:val="Bibliography"/>
      </w:pPr>
      <w:r>
        <w:t xml:space="preserve">6. Ministerio de Salud de Chile. </w:t>
      </w:r>
      <w:r>
        <w:rPr>
          <w:i/>
        </w:rPr>
        <w:t>GES 34: Depresión en personas de 15 años y más</w:t>
      </w:r>
      <w:r>
        <w:t xml:space="preserve">. Portal AUGE/GES; consultado en 2026. </w:t>
      </w:r>
      <w:hyperlink r:id="rId29">
        <w:r>
          <w:rPr>
            <w:color w:val="246B8E"/>
            <w:u w:val="single"/>
          </w:rPr>
          <w:t>Ficha oficial</w:t>
        </w:r>
      </w:hyperlink>
      <w:r>
        <w:t>.</w:t>
      </w:r>
    </w:p>
    <w:p>
      <w:r>
        <w:br w:type="page"/>
      </w:r>
    </w:p>
    <w:p>
      <w:pPr>
        <w:spacing w:after="480"/>
      </w:pPr>
      <w:r>
        <w:rPr>
          <w:rFonts w:ascii="Calibri" w:hAnsi="Calibri"/>
          <w:b/>
          <w:color w:val="2A8C82"/>
          <w:sz w:val="20"/>
        </w:rPr>
        <w:t>CAPÍTULO 46 · MATERIAL PARA ESTUDIANTES</w:t>
      </w:r>
    </w:p>
    <w:tbl>
      <w:tblPr>
        <w:tblW w:type="auto" w:w="0"/>
        <w:jc w:val="left"/>
        <w:tblLayout w:type="fixed"/>
        <w:tblLook w:firstColumn="1" w:firstRow="1" w:lastColumn="0" w:lastRow="0" w:noHBand="0" w:noVBand="1" w:val="04A0"/>
      </w:tblPr>
      <w:tblGrid>
        <w:gridCol w:w="9648"/>
      </w:tblGrid>
      <w:tr>
        <w:trPr>
          <w:tblHeader w:val="true"/>
        </w:trPr>
        <w:tc>
          <w:tcPr>
            <w:tcW w:type="dxa" w:w="9072"/>
            <w:shd w:fill="173A5E"/>
            <w:tcMar>
              <w:top w:w="120" w:type="dxa"/>
              <w:start w:w="220" w:type="dxa"/>
              <w:bottom w:w="120" w:type="dxa"/>
              <w:end w:w="220" w:type="dxa"/>
            </w:tcMar>
          </w:tcPr>
          <w:p>
            <w:pPr>
              <w:spacing w:after="0"/>
            </w:pPr>
            <w:r>
              <w:rPr>
                <w:rFonts w:ascii="Calibri" w:hAnsi="Calibri"/>
                <w:b/>
                <w:color w:val="FFFFFF"/>
                <w:sz w:val="19"/>
              </w:rPr>
              <w:t>MÓDULO III · TEMAS ESENCIALES E INTEGRACIÓN EN CHILE</w:t>
            </w:r>
          </w:p>
        </w:tc>
      </w:tr>
    </w:tbl>
    <w:p>
      <w:pPr>
        <w:pStyle w:val="Title"/>
        <w:spacing w:before="520" w:after="360"/>
        <w:outlineLvl w:val="0"/>
      </w:pPr>
      <w:bookmarkStart w:id="1046" w:name="chapter_46"/>
      <w:r>
        <w:t>Psiquiatría infanto-adolescente esencial para el médico general</w:t>
      </w:r>
      <w:bookmarkEnd w:id="1046"/>
    </w:p>
    <w:p>
      <w:pPr>
        <w:spacing w:after="80"/>
      </w:pPr>
      <w:r>
        <w:rPr>
          <w:rFonts w:ascii="Calibri" w:hAnsi="Calibri"/>
          <w:b/>
          <w:color w:val="246B8E"/>
          <w:sz w:val="26"/>
        </w:rPr>
        <w:t>Programa de Psiquiatría para internos de Medicina</w:t>
      </w:r>
    </w:p>
    <w:p>
      <w:r>
        <w:rPr>
          <w:rFonts w:ascii="Calibri" w:hAnsi="Calibri"/>
          <w:color w:val="6B7280"/>
          <w:sz w:val="22"/>
        </w:rPr>
        <w:t>Lectura complementaria · Chile · Versión final para revisión humana · 2026</w:t>
      </w:r>
    </w:p>
    <w:p/>
    <w:p/>
    <w:p/>
    <w:p/>
    <w:p/>
    <w:tbl>
      <w:tblPr>
        <w:tblW w:type="auto" w:w="0"/>
        <w:jc w:val="left"/>
        <w:tblLayout w:type="fixed"/>
        <w:tblLook w:firstColumn="1" w:firstRow="1" w:lastColumn="0" w:lastRow="0" w:noHBand="0" w:noVBand="1" w:val="04A0"/>
      </w:tblPr>
      <w:tblGrid>
        <w:gridCol w:w="9648"/>
      </w:tblGrid>
      <w:tr>
        <w:trPr>
          <w:tblHeader w:val="true"/>
        </w:trPr>
        <w:tc>
          <w:tcPr>
            <w:tcW w:type="dxa" w:w="9648"/>
            <w:shd w:fill="F3F5F6"/>
            <w:tcBorders>
              <w:start w:val="single" w:sz="18" w:color="2A8C82"/>
            </w:tcBorders>
            <w:tcMar>
              <w:top w:w="160" w:type="dxa"/>
              <w:start w:w="220" w:type="dxa"/>
              <w:bottom w:w="160" w:type="dxa"/>
              <w:end w:w="220" w:type="dxa"/>
            </w:tcMar>
          </w:tcPr>
          <w:p>
            <w:pPr>
              <w:spacing w:after="0"/>
            </w:pPr>
            <w:r>
              <w:rPr>
                <w:rFonts w:ascii="Calibri" w:hAnsi="Calibri"/>
                <w:i/>
                <w:color w:val="6B7280"/>
                <w:sz w:val="18"/>
              </w:rPr>
              <w:t>Versión docente final para revisión humana. Material propuesto y contextualizado a Chile; no corresponde a un programa oficial de la Pontificia Universidad Católica de Chile ni sustituye protocolos locales, supervisión clínica o evaluación especializada. Fuentes revisadas al 15 de agosto de 2026.</w:t>
            </w:r>
          </w:p>
        </w:tc>
      </w:tr>
    </w:tbl>
    <w:p>
      <w:r>
        <w:br w:type="page"/>
      </w:r>
    </w:p>
    <w:tbl>
      <w:tblPr>
        <w:tblW w:type="auto" w:w="0"/>
        <w:jc w:val="center"/>
        <w:tblLayout w:type="autofit"/>
        <w:tblLook w:firstColumn="1" w:firstRow="1" w:lastColumn="0" w:lastRow="0" w:noHBand="0" w:noVBand="1" w:val="04A0"/>
      </w:tblPr>
      <w:tblGrid>
        <w:gridCol w:w="9648"/>
      </w:tblGrid>
      <w:tr>
        <w:trPr>
          <w:tblHeader w:val="true"/>
        </w:trPr>
        <w:tc>
          <w:tcPr>
            <w:tcW w:type="dxa" w:w="9648"/>
            <w:vAlign w:val="center"/>
            <w:shd w:fill="EAF3F7"/>
            <w:tcBorders>
              <w:start w:val="single" w:sz="14" w:color="2A8C82"/>
            </w:tcBorders>
            <w:tcMar>
              <w:top w:w="130" w:type="dxa"/>
              <w:start w:w="190" w:type="dxa"/>
              <w:bottom w:w="130" w:type="dxa"/>
              <w:end w:w="190" w:type="dxa"/>
            </w:tcMar>
          </w:tcPr>
          <w:p>
            <w:pPr>
              <w:spacing w:after="0"/>
            </w:pPr>
            <w:r>
              <w:rPr>
                <w:b/>
                <w:color w:val="173A5E"/>
              </w:rPr>
              <w:t xml:space="preserve">PREGUNTA CLÍNICA  </w:t>
            </w:r>
            <w:r>
              <w:t>¿Cómo reconocer problemas psiquiátricos relevantes en niños y adolescentes, iniciar un manejo seguro y derivar sin tratarlos como “adultos pequeños”?</w:t>
            </w:r>
          </w:p>
        </w:tc>
      </w:tr>
    </w:tbl>
    <w:p>
      <w:pPr>
        <w:spacing w:after="0"/>
      </w:pPr>
    </w:p>
    <w:tbl>
      <w:tblPr>
        <w:tblW w:type="auto" w:w="0"/>
        <w:jc w:val="center"/>
        <w:tblLayout w:type="autofit"/>
        <w:tblLook w:firstColumn="1" w:firstRow="1" w:lastColumn="0" w:lastRow="0" w:noHBand="0" w:noVBand="1" w:val="04A0"/>
      </w:tblPr>
      <w:tblGrid>
        <w:gridCol w:w="9648"/>
      </w:tblGrid>
      <w:tr>
        <w:trPr>
          <w:tblHeader w:val="true"/>
        </w:trPr>
        <w:tc>
          <w:tcPr>
            <w:tcW w:type="dxa" w:w="9648"/>
            <w:vAlign w:val="center"/>
            <w:shd w:fill="EAF6F3"/>
            <w:tcBorders>
              <w:start w:val="single" w:sz="14" w:color="2A8C82"/>
            </w:tcBorders>
            <w:tcMar>
              <w:top w:w="130" w:type="dxa"/>
              <w:start w:w="190" w:type="dxa"/>
              <w:bottom w:w="130" w:type="dxa"/>
              <w:end w:w="190" w:type="dxa"/>
            </w:tcMar>
          </w:tcPr>
          <w:p>
            <w:pPr>
              <w:spacing w:after="0"/>
            </w:pPr>
            <w:r>
              <w:rPr>
                <w:b/>
                <w:color w:val="173A5E"/>
              </w:rPr>
              <w:t xml:space="preserve">IDEA CENTRAL  </w:t>
            </w:r>
            <w:r>
              <w:t>en la infancia y adolescencia, los síntomas adquieren significado al compararlos con el desarrollo esperado y suelen expresarse en la conducta, el cuerpo, el aprendizaje y las relaciones.</w:t>
            </w:r>
          </w:p>
        </w:tc>
      </w:tr>
    </w:tbl>
    <w:p>
      <w:pPr>
        <w:spacing w:after="0"/>
      </w:pPr>
    </w:p>
    <w:p>
      <w:pPr>
        <w:pStyle w:val="Heading1"/>
      </w:pPr>
      <w:r>
        <w:t>Por qué importa</w:t>
      </w:r>
    </w:p>
    <w:p>
      <w:r>
        <w:t>El médico general recibe consultas por dolor, bajo rendimiento, irritabilidad, problemas de sueño o esfínteres que pueden expresar sufrimiento, dificultades del neurodesarrollo o vulneraciones. Un diagnóstico apresurado estigmatiza; omitir riesgo suicida, intoxicación, psicosis o maltrato puede ser grave. La tarea es formular, integrar fuentes, resolver lo abordable y disponer derivación o protección proporcionada.</w:t>
      </w:r>
    </w:p>
    <w:p>
      <w:r>
        <w:t>El Perfil EUNACOM versión 3 —que entra en vigencia con el examen de diciembre de 2026— incluye reconocimiento o manejo inicial de cuadros frecuentes infanto-adolescentes. Exige distinguir desarrollo de psicopatología, evaluar seguridad y conocer rutas chilenas.</w:t>
      </w:r>
    </w:p>
    <w:p>
      <w:pPr>
        <w:pStyle w:val="Heading1"/>
      </w:pPr>
      <w:r>
        <w:t>Objetivos de aprendizaje</w:t>
      </w:r>
    </w:p>
    <w:p>
      <w:pPr>
        <w:keepNext/>
      </w:pPr>
      <w:r>
        <w:t>Al terminar este capítulo, el lector podrá:</w:t>
      </w:r>
    </w:p>
    <w:p>
      <w:pPr>
        <w:spacing w:after="60" w:line="288" w:lineRule="auto"/>
        <w:ind w:left="432" w:hanging="216"/>
      </w:pPr>
      <w:r>
        <w:t>1. Organizar una historia clínica que incluya desarrollo, familia, escuela, pares y múltiples informantes.</w:t>
      </w:r>
    </w:p>
    <w:p>
      <w:pPr>
        <w:spacing w:after="60" w:line="288" w:lineRule="auto"/>
        <w:ind w:left="432" w:hanging="216"/>
      </w:pPr>
      <w:r>
        <w:t>2. Reconocer presentaciones infantiles de depresión, ansiedad, somatización, autolesión y riesgo suicida.</w:t>
      </w:r>
    </w:p>
    <w:p>
      <w:pPr>
        <w:spacing w:after="60" w:line="288" w:lineRule="auto"/>
        <w:ind w:left="432" w:hanging="216"/>
      </w:pPr>
      <w:r>
        <w:t>3. Diferenciar inicialmente TDAH, conducta oposicionista, dificultades de aprendizaje, trastorno del espectro autista y discapacidad intelectual.</w:t>
      </w:r>
    </w:p>
    <w:p>
      <w:pPr>
        <w:spacing w:after="60" w:line="288" w:lineRule="auto"/>
        <w:ind w:left="432" w:hanging="216"/>
      </w:pPr>
      <w:r>
        <w:t>4. Evaluar y tratar inicialmente una enuresis no complicada y reconocer encopresis asociada a constipación.</w:t>
      </w:r>
    </w:p>
    <w:p>
      <w:pPr>
        <w:spacing w:after="60" w:line="288" w:lineRule="auto"/>
        <w:ind w:left="432" w:hanging="216"/>
      </w:pPr>
      <w:r>
        <w:t>5. Pesquisar consumo de sustancias y aplicar correctamente los alcances de GES 53 y GES 89.</w:t>
      </w:r>
    </w:p>
    <w:p>
      <w:pPr>
        <w:spacing w:after="60" w:line="288" w:lineRule="auto"/>
        <w:ind w:left="432" w:hanging="216"/>
      </w:pPr>
      <w:r>
        <w:t>6. Detectar maltrato o vulneración sin transformar la entrevista clínica en un interrogatorio forense.</w:t>
      </w:r>
    </w:p>
    <w:p>
      <w:pPr>
        <w:spacing w:after="60" w:line="288" w:lineRule="auto"/>
        <w:ind w:left="432" w:hanging="216"/>
      </w:pPr>
      <w:r>
        <w:t>7. Identificar criterios de urgencia y límites del manejo general.</w:t>
      </w:r>
    </w:p>
    <w:p>
      <w:pPr>
        <w:pStyle w:val="Heading1"/>
      </w:pPr>
      <w:r>
        <w:t>Caso clínico</w:t>
      </w:r>
    </w:p>
    <w:p>
      <w:pPr>
        <w:shd w:fill="EAF3F7"/>
        <w:keepLines/>
        <w:pBdr>
          <w:left w:val="single" w:sz="8" w:space="8" w:color="246B8E"/>
        </w:pBdr>
        <w:ind w:left="173" w:right="86"/>
      </w:pPr>
      <w:r>
        <w:t>Antonia, de 14 años, consulta por dolor abdominal recurrente. Su madre describe irritabilidad y caída de notas; Antonia, entrevistada a solas, relata aislamiento, pérdida de interés, cortes superficiales y cannabis los fines de semana. Tomás, de 9 años, es derivado porque “no se concentra”; lee bajo lo esperado, moja la cama por la noche y evacúa heces duras cada cuatro días. Emilia, de 6 años, presenta poca reciprocidad conversacional, rigidez ante cambios, hipersensibilidad auditiva y crisis cuando se altera su rutina. Son tres problemas distintos: separarlos evita inventar un diagnóstico único para síntomas heterogéneos.</w:t>
      </w:r>
    </w:p>
    <w:p>
      <w:pPr>
        <w:pStyle w:val="Heading1"/>
      </w:pPr>
      <w:r>
        <w:t>1. Una entrevista anclada en el desarrollo</w:t>
      </w:r>
    </w:p>
    <w:p>
      <w:r>
        <w:t>Antes de etiquetar un síntoma, pregunte qué se espera para esa edad, desde cuándo ocurre, si representa un cambio y cuánto interfiere. Revise embarazo y período perinatal, hitos motores y del lenguaje, socialización, escolaridad, control de esfínteres y autonomía. Explore sueño, alimentación, actividad física, pantallas, enfermedades, fármacos, consumo, relaciones, sexualidad, trauma y estresores. En adolescentes puede ser útil una secuencia como hogar, educación, actividades, sustancias, sexualidad, ánimo y seguridad, sin convertirla en lista mecánica.</w:t>
      </w:r>
    </w:p>
    <w:p>
      <w:r>
        <w:t>Explique al niño o adolescente el propósito de la consulta y los límites de confidencialidad. Integre una parte con cuidadores y, según madurez y seguridad, otra en privado. No prometa secreto absoluto: si aparece riesgo grave o vulneración deberá actuar, procurando informar al paciente qué se comunicará y por qué. La Ley 21.430 exige considerar interés superior, autonomía progresiva y derecho a ser oído.</w:t>
      </w:r>
    </w:p>
    <w:p>
      <w:r>
        <w:t>Las discrepancias entre informantes son datos clínicos. Un niño puede funcionar bien en una casa estructurada y mal en una sala ruidosa; un adolescente puede ocultar autolesiones a sus padres. Solicite antecedentes escolares cuando sean pertinentes y autorizados. Las escalas de tamizaje ayudan a ordenar, pero no reemplazan entrevista, examen mental, curso ni funcionamiento. Una formulación útil resume cuatro capas: trayectoria del desarrollo, síndrome actual, contexto y riesgos/protecciones.</w:t>
      </w:r>
    </w:p>
    <w:p>
      <w:pPr>
        <w:pStyle w:val="Heading1"/>
      </w:pPr>
      <w:r>
        <w:t>2. Ánimo, ansiedad, síntomas físicos y autolesión</w:t>
      </w:r>
    </w:p>
    <w:p>
      <w:r>
        <w:t>La depresión infantil o adolescente puede manifestarse con irritabilidad, pérdida de interés, aislamiento, cambio de sueño o apetito, fatiga, somatización y deterioro escolar. Irritabilidad persistente no equivale a bipolaridad. Para sospechar manía busque un cambio episódico respecto de la línea basal, con ánimo elevado o muy irritable y aumento de energía, menor necesidad de dormir, aceleración, grandiosidad y actividad dirigida a objetivos. Dormir poco por pantallas y estar cansado al día siguiente no es menor necesidad de sueño.</w:t>
      </w:r>
    </w:p>
    <w:p>
      <w:r>
        <w:t>La ansiedad adopta formas evolutivas: separación, fobias, ansiedad social, preocupación generalizada, pánico o rechazo escolar. Ante dolor abdominal, cefalea u otros síntomas, realice evaluación médica proporcional, valide el malestar y explore relación temporal con estrés. Deben evitarse dos extremos: estudios indefinidos sin hipótesis y atribuir prematuramente todo a “lo psicológico”. El objetivo es recuperar funcionamiento, no exigir ausencia total de síntomas antes de volver gradualmente a actividades.</w:t>
      </w:r>
    </w:p>
    <w:p>
      <w:r>
        <w:t>Pregunte directamente por pensamientos de muerte, ideación, plan, intención, acceso a medios, intentos previos y consumo. Distinga autolesión sin intención suicida de intento suicida, pero no considere inocua la primera: puede regular emociones, comunicar sufrimiento o coexistir con riesgo de muerte. Explore precipitantes, letalidad, rescate, arrepentimiento, impulsividad, supervisión y factores protectores. Intento reciente, plan con medios disponibles, intoxicación, psicosis, agitación grave, incapacidad de autocuidado o ausencia de un adulto protector requieren evaluación urgente y un plan de seguridad concreto; una “promesa de no hacerse daño” no sustituye estas medidas.</w:t>
      </w:r>
    </w:p>
    <w:p>
      <w:pPr>
        <w:pStyle w:val="Heading1"/>
      </w:pPr>
      <w:r>
        <w:t>3. Inatención, oposición y dificultades escolares</w:t>
      </w:r>
    </w:p>
    <w:p>
      <w:r>
        <w:t>El TDAH supone un patrón persistente de inatención y/o hiperactividad-impulsividad incompatible con el nivel de desarrollo, presente desde la infancia, en al menos dos contextos y con interferencia relevante. No se diagnostica por una escala positiva ni porque el niño se mueva en consulta. Confirme ejemplos conductuales, inicio, curso e impacto; obtenga información de hogar y escuela. Busque privación de sueño, apnea, epilepsia de ausencias, ansiedad, depresión, trauma, consumo, dificultades sensoriales, TEA y trastorno específico del aprendizaje.</w:t>
      </w:r>
    </w:p>
    <w:p>
      <w:r>
        <w:t>El trastorno oposicionista desafiante incluye irritabilidad, discusiones y desafío persistentes; el trastorno de conducta agrega agresión, destrucción, engaño, robo o transgresiones graves. Antes de atribuirlos a “mala crianza”, evalúe violencia, exclusión, pares, sustancias, lenguaje y aprendizaje. El manejo suele ser multimodal: psicoeducación, estrategias parentales consistentes y no violentas, adaptaciones escolares, hábitos de sueño, tratamiento de comorbilidad y derivación según gravedad. La medicación no reemplaza la intervención familiar y educativa.</w:t>
      </w:r>
    </w:p>
    <w:p>
      <w:r>
        <w:t>Una dificultad focal y persistente en lectura, escritura o matemáticas, pese a enseñanza adecuada, orienta a trastorno específico del aprendizaje. Deben revisarse asistencia, calidad educativa, visión, audición, lenguaje y funcionamiento cognitivo. El médico integra antecedentes y deriva para evaluación apropiada; no concluye desde una nota escolar aislada.</w:t>
      </w:r>
    </w:p>
    <w:p>
      <w:pPr>
        <w:pStyle w:val="Heading1"/>
      </w:pPr>
      <w:r>
        <w:t>4. Autismo y discapacidad intelectual</w:t>
      </w:r>
    </w:p>
    <w:p>
      <w:r>
        <w:t>En el trastorno del espectro autista existen diferencias persistentes en comunicación e interacción social junto con patrones restringidos o repetitivos, intereses intensos, rigidez o particularidades sensoriales, originados en el período del desarrollo. La presentación varía con edad, lenguaje, género y apoyos; contacto visual presente o afecto hacia la familia no lo descartan. Interrogue sobre reciprocidad, juego, gestos, amistades, flexibilidad y sensibilidad sensorial, y descarte pérdida adquirida de habilidades.</w:t>
      </w:r>
    </w:p>
    <w:p>
      <w:r>
        <w:t>Adapte la consulta: anticipe lo que ocurrirá, use lenguaje concreto, reduzca estímulos, conceda tiempo de procesamiento y permita apoyos reguladores. Una crisis ante sobrecarga no debe asumirse como manipulación.</w:t>
      </w:r>
    </w:p>
    <w:p>
      <w:r>
        <w:t>La discapacidad intelectual requiere limitaciones en funciones intelectuales y, de manera central, en funcionamiento adaptativo conceptual, social y práctico, con inicio durante el desarrollo. El cociente intelectual aislado no define gravedad ni necesidades. El médico utiliza informes psicométricos dentro de una evaluación clínica y funcional; no administra ni interpreta autónomamente WISC o WAIS sin competencia específica. Emplee lenguaje respetuoso y describa apoyos requeridos, no sólo déficit.</w:t>
      </w:r>
    </w:p>
    <w:p>
      <w:pPr>
        <w:pStyle w:val="Heading1"/>
      </w:pPr>
      <w:r>
        <w:t>5. Enuresis y encopresis</w:t>
      </w:r>
    </w:p>
    <w:p>
      <w:r>
        <w:t>La enuresis corresponde a emisión urinaria involuntaria a una edad en que se espera continencia, habitualmente desde los cinco años. Distinga nocturna o diurna, primaria o secundaria, y monosintomática —sin otros síntomas urinarios— o no monosintomática. Pregunte por urgencia, chorro débil, infecciones, constipación, ronquido, poliuria, polidipsia, fármacos, estrés y período previo seco. Examine abdomen, región lumbosacra y neurología dirigida; solicite orina u otros estudios sólo según la hipótesis. Inicio secundario, síntomas diurnos, infección, pérdida de peso, anomalías neurológicas o mal estado general exigen ampliar evaluación.</w:t>
      </w:r>
    </w:p>
    <w:p>
      <w:r>
        <w:t>Explique que no es voluntaria ni merece castigo. Indique micciones regulares, acceso fácil al baño, líquidos suficientes distribuidos durante el día y manejo de constipación. Una alarma nocturna exige motivación y constancia, pero ofrece respuesta más durable. La desmopresina puede ayudar cuando se busca control rápido o la alarma no es factible; debe acompañarse de restricción de líquidos nocturnos e instrucciones para suspenderla durante vómitos o cuadros que alteren el balance hídrico, por riesgo de hiponatremia.</w:t>
      </w:r>
    </w:p>
    <w:p>
      <w:r>
        <w:t>La encopresis se relaciona con frecuencia con constipación y retención: el recto distendido reduce sensibilidad y permite rebalse. El tratamiento incluye desimpactación cuando corresponde, mantención prolongada, rutina de baño después de comidas y refuerzo no punitivo. Dolor intenso, sangre persistente, retraso ponderal, distensión marcada o signos neurológicos obligan a buscar causas orgánicas.</w:t>
      </w:r>
    </w:p>
    <w:p>
      <w:pPr>
        <w:pStyle w:val="Heading1"/>
      </w:pPr>
      <w:r>
        <w:t>6. Sustancias, protección y red chilena</w:t>
      </w:r>
    </w:p>
    <w:p>
      <w:r>
        <w:t>Con adolescentes, explore sustancias en privado y sin moralizar: frecuencia, cantidad, contexto, consecuencias, conducción, policonsumo y función del uso. CRAFFT puede apoyar pesquisa. Busque sobredosis, abstinencia, psicosis, explotación, violencia, deserción y suicidalidad. GES 53 cubre a menores de 20 años con consumo perjudicial o dependencia de riesgo bajo a moderado confirmados, con inicio de tratamiento dentro de diez días desde la confirmación y seguimiento. No debe extrapolarse a consumo de riesgo aislado, dependencia grave o desintoxicación, que requieren otra ruta clínica.</w:t>
      </w:r>
    </w:p>
    <w:p>
      <w:r>
        <w:t>GES 89 se aplica a menores de 15 años con depresión grave, refractaria o psicótica y riesgo suicida, una vez confirmada. Garantiza tratamiento inmediato desde la confirmación y consulta con especialista dentro de 30 días desde la derivación; ante riesgo actual no se espera el plazo administrativo.</w:t>
      </w:r>
    </w:p>
    <w:p>
      <w:r>
        <w:t>Ante posible maltrato, atienda lesiones y determine seguridad inmediata. Escuche con calma, formule sólo preguntas abiertas necesarias, registre palabras relevantes de manera textual, hallazgos, fuente y acciones. No confronte al presunto agresor ni repita interrogatorios. Active jefatura y rutas institucionales de protección y denuncia aplicables. La prioridad es cuidar y preservar un relato espontáneo, no producir una declaración forense.</w:t>
      </w:r>
    </w:p>
    <w:p>
      <w:pPr>
        <w:pStyle w:val="Heading1"/>
      </w:pPr>
      <w:r>
        <w:t>Errores frecuentes</w:t>
      </w:r>
    </w:p>
    <w:p>
      <w:pPr>
        <w:pStyle w:val="ListBullet"/>
      </w:pPr>
      <w:r>
        <w:t>Diagnosticar a partir del relato de un solo adulto o de una escala aislada.</w:t>
      </w:r>
    </w:p>
    <w:p>
      <w:pPr>
        <w:pStyle w:val="ListBullet"/>
      </w:pPr>
      <w:r>
        <w:t>Interpretar toda irritabilidad como manía o toda inatención como TDAH.</w:t>
      </w:r>
    </w:p>
    <w:p>
      <w:pPr>
        <w:pStyle w:val="ListBullet"/>
      </w:pPr>
      <w:r>
        <w:t>Confundir puntaje intelectual con funcionamiento adaptativo.</w:t>
      </w:r>
    </w:p>
    <w:p>
      <w:pPr>
        <w:pStyle w:val="ListBullet"/>
      </w:pPr>
      <w:r>
        <w:t>Castigar enuresis, encopresis o crisis por sobrecarga sensorial.</w:t>
      </w:r>
    </w:p>
    <w:p>
      <w:pPr>
        <w:pStyle w:val="ListBullet"/>
      </w:pPr>
      <w:r>
        <w:t>Prometer confidencialidad absoluta o interrogar repetidamente ante sospecha de abuso.</w:t>
      </w:r>
    </w:p>
    <w:p>
      <w:pPr>
        <w:pStyle w:val="ListBullet"/>
      </w:pPr>
      <w:r>
        <w:t>Esperar un plazo GES frente a intento suicida, intoxicación, psicosis o falta de protección.</w:t>
      </w:r>
    </w:p>
    <w:p>
      <w:pPr>
        <w:pStyle w:val="Heading1"/>
      </w:pPr>
      <w:r>
        <w:t>Para recordar</w:t>
      </w:r>
    </w:p>
    <w:p>
      <w:pPr>
        <w:spacing w:after="60" w:line="288" w:lineRule="auto"/>
        <w:ind w:left="432" w:hanging="216"/>
        <w:shd w:fill="EAF6F3"/>
        <w:keepNext/>
        <w:keepLines/>
        <w:pBdr>
          <w:left w:val="single" w:sz="8" w:space="8" w:color="2A8C82"/>
        </w:pBdr>
      </w:pPr>
      <w:r>
        <w:t>1. En niños y adolescentes, el desarrollo y el contexto son parte del diagnóstico.</w:t>
      </w:r>
    </w:p>
    <w:p>
      <w:pPr>
        <w:spacing w:after="60" w:line="288" w:lineRule="auto"/>
        <w:ind w:left="432" w:hanging="216"/>
        <w:shd w:fill="EAF6F3"/>
        <w:keepNext/>
        <w:keepLines/>
        <w:pBdr>
          <w:left w:val="single" w:sz="8" w:space="8" w:color="2A8C82"/>
        </w:pBdr>
      </w:pPr>
      <w:r>
        <w:t>2. La evaluación integra la voz del paciente, cuidadores y entornos pertinentes, sin exigir concordancia artificial.</w:t>
      </w:r>
    </w:p>
    <w:p>
      <w:pPr>
        <w:spacing w:after="60" w:line="288" w:lineRule="auto"/>
        <w:ind w:left="432" w:hanging="216"/>
        <w:shd w:fill="EAF6F3"/>
        <w:keepNext/>
        <w:keepLines/>
        <w:pBdr>
          <w:left w:val="single" w:sz="8" w:space="8" w:color="2A8C82"/>
        </w:pBdr>
      </w:pPr>
      <w:r>
        <w:t>3. Irritabilidad no es sinónimo de bipolaridad e inatención no es sinónimo de TDAH.</w:t>
      </w:r>
    </w:p>
    <w:p>
      <w:pPr>
        <w:spacing w:after="60" w:line="288" w:lineRule="auto"/>
        <w:ind w:left="432" w:hanging="216"/>
        <w:shd w:fill="EAF6F3"/>
        <w:keepNext/>
        <w:keepLines/>
        <w:pBdr>
          <w:left w:val="single" w:sz="8" w:space="8" w:color="2A8C82"/>
        </w:pBdr>
      </w:pPr>
      <w:r>
        <w:t>4. Enuresis y encopresis se investigan y tratan; nunca se castigan.</w:t>
      </w:r>
    </w:p>
    <w:p>
      <w:pPr>
        <w:spacing w:after="60" w:line="288" w:lineRule="auto"/>
        <w:ind w:left="432" w:hanging="216"/>
        <w:shd w:fill="EAF6F3"/>
        <w:keepLines/>
        <w:pBdr>
          <w:left w:val="single" w:sz="8" w:space="8" w:color="2A8C82"/>
        </w:pBdr>
      </w:pPr>
      <w:r>
        <w:t>5. Riesgo suicida, intoxicación, psicosis, maltrato o ausencia de protección obligan a escalar la atención.</w:t>
      </w:r>
    </w:p>
    <w:p>
      <w:pPr>
        <w:pStyle w:val="Heading1"/>
      </w:pPr>
      <w:r>
        <w:t>Bibliografía esencial</w:t>
      </w:r>
    </w:p>
    <w:p>
      <w:pPr>
        <w:pStyle w:val="Bibliography"/>
      </w:pPr>
      <w:r>
        <w:t xml:space="preserve">• EUNACOM. </w:t>
      </w:r>
      <w:r>
        <w:rPr>
          <w:i/>
        </w:rPr>
        <w:t>Perfil de Conocimientos EUNACOM, versión 3</w:t>
      </w:r>
      <w:r>
        <w:t xml:space="preserve">. Publicado en junio de 2026; aplicable desde el examen de diciembre de 2026. </w:t>
      </w:r>
      <w:hyperlink r:id="rId122">
        <w:r>
          <w:rPr>
            <w:color w:val="246B8E"/>
            <w:u w:val="single"/>
          </w:rPr>
          <w:t>Perfil oficial</w:t>
        </w:r>
      </w:hyperlink>
      <w:r>
        <w:t>.</w:t>
      </w:r>
    </w:p>
    <w:p>
      <w:pPr>
        <w:pStyle w:val="Bibliography"/>
      </w:pPr>
      <w:r>
        <w:t xml:space="preserve">• World Health Organization. </w:t>
      </w:r>
      <w:r>
        <w:rPr>
          <w:i/>
        </w:rPr>
        <w:t>Clinical Descriptions and Diagnostic Requirements for ICD-11 Mental, Behavioural and Neurodevelopmental Disorders</w:t>
      </w:r>
      <w:r>
        <w:t xml:space="preserve">. Geneva: WHO; 2024. </w:t>
      </w:r>
      <w:hyperlink r:id="rId116">
        <w:r>
          <w:rPr>
            <w:color w:val="246B8E"/>
            <w:u w:val="single"/>
          </w:rPr>
          <w:t>Documento</w:t>
        </w:r>
      </w:hyperlink>
      <w:r>
        <w:t>.</w:t>
      </w:r>
    </w:p>
    <w:p>
      <w:pPr>
        <w:pStyle w:val="Bibliography"/>
      </w:pPr>
      <w:r>
        <w:t xml:space="preserve">• National Institute for Health and Care Excellence. </w:t>
      </w:r>
      <w:r>
        <w:rPr>
          <w:i/>
        </w:rPr>
        <w:t>Attention deficit hyperactivity disorder: diagnosis and management (NG87)</w:t>
      </w:r>
      <w:r>
        <w:t xml:space="preserve">. London: NICE; 2018, actualización vigente. </w:t>
      </w:r>
      <w:hyperlink r:id="rId126">
        <w:r>
          <w:rPr>
            <w:color w:val="246B8E"/>
            <w:u w:val="single"/>
          </w:rPr>
          <w:t>Recomendaciones</w:t>
        </w:r>
      </w:hyperlink>
      <w:r>
        <w:t>.</w:t>
      </w:r>
    </w:p>
    <w:p>
      <w:pPr>
        <w:pStyle w:val="Bibliography"/>
      </w:pPr>
      <w:r>
        <w:t xml:space="preserve">• Austin PF, Bauer SB, Bower W, et al. The standardization of terminology of lower urinary tract function in children and adolescents: update report from the ICCS. </w:t>
      </w:r>
      <w:r>
        <w:rPr>
          <w:i/>
        </w:rPr>
        <w:t>J Pediatr Urol</w:t>
      </w:r>
      <w:r>
        <w:t>. 2016;12(4):186–194.</w:t>
      </w:r>
    </w:p>
    <w:p>
      <w:pPr>
        <w:pStyle w:val="Bibliography"/>
      </w:pPr>
      <w:r>
        <w:t xml:space="preserve">• Chile. Ley N.º 21.430, sobre garantías y protección integral de los derechos de la niñez y adolescencia. 2022. </w:t>
      </w:r>
      <w:hyperlink r:id="rId137">
        <w:r>
          <w:rPr>
            <w:color w:val="246B8E"/>
            <w:u w:val="single"/>
          </w:rPr>
          <w:t>Texto oficial</w:t>
        </w:r>
      </w:hyperlink>
      <w:r>
        <w:t>.</w:t>
      </w:r>
    </w:p>
    <w:p>
      <w:pPr>
        <w:pStyle w:val="Bibliography"/>
      </w:pPr>
      <w:r>
        <w:t xml:space="preserve">• Ministerio de Salud de Chile. </w:t>
      </w:r>
      <w:r>
        <w:rPr>
          <w:i/>
        </w:rPr>
        <w:t>GES 53: Consumo perjudicial o dependencia de riesgo bajo a moderado de alcohol y drogas en personas menores de 20 años</w:t>
      </w:r>
      <w:r>
        <w:t xml:space="preserve">; y </w:t>
      </w:r>
      <w:r>
        <w:rPr>
          <w:i/>
        </w:rPr>
        <w:t>GES 89: Tratamiento de la depresión grave en personas menores de 15 años</w:t>
      </w:r>
      <w:r>
        <w:t xml:space="preserve">. </w:t>
      </w:r>
      <w:hyperlink r:id="rId87">
        <w:r>
          <w:rPr>
            <w:color w:val="246B8E"/>
            <w:u w:val="single"/>
          </w:rPr>
          <w:t>GES 53</w:t>
        </w:r>
      </w:hyperlink>
      <w:r>
        <w:t xml:space="preserve"> · </w:t>
      </w:r>
      <w:hyperlink r:id="rId138">
        <w:r>
          <w:rPr>
            <w:color w:val="246B8E"/>
            <w:u w:val="single"/>
          </w:rPr>
          <w:t>GES 89</w:t>
        </w:r>
      </w:hyperlink>
      <w:r>
        <w:t>.</w:t>
      </w:r>
    </w:p>
    <w:p>
      <w:r>
        <w:br w:type="page"/>
      </w:r>
    </w:p>
    <w:p>
      <w:pPr>
        <w:spacing w:after="480"/>
      </w:pPr>
      <w:r>
        <w:rPr>
          <w:rFonts w:ascii="Calibri" w:hAnsi="Calibri"/>
          <w:b/>
          <w:color w:val="2A8C82"/>
          <w:sz w:val="20"/>
        </w:rPr>
        <w:t>CAPÍTULO 47 · MATERIAL PARA ESTUDIANTES</w:t>
      </w:r>
    </w:p>
    <w:tbl>
      <w:tblPr>
        <w:tblW w:type="auto" w:w="0"/>
        <w:jc w:val="left"/>
        <w:tblLayout w:type="fixed"/>
        <w:tblLook w:firstColumn="1" w:firstRow="1" w:lastColumn="0" w:lastRow="0" w:noHBand="0" w:noVBand="1" w:val="04A0"/>
      </w:tblPr>
      <w:tblGrid>
        <w:gridCol w:w="9648"/>
      </w:tblGrid>
      <w:tr>
        <w:trPr>
          <w:tblHeader w:val="true"/>
        </w:trPr>
        <w:tc>
          <w:tcPr>
            <w:tcW w:type="dxa" w:w="9072"/>
            <w:shd w:fill="173A5E"/>
            <w:tcMar>
              <w:top w:w="120" w:type="dxa"/>
              <w:start w:w="220" w:type="dxa"/>
              <w:bottom w:w="120" w:type="dxa"/>
              <w:end w:w="220" w:type="dxa"/>
            </w:tcMar>
          </w:tcPr>
          <w:p>
            <w:pPr>
              <w:spacing w:after="0"/>
            </w:pPr>
            <w:r>
              <w:rPr>
                <w:rFonts w:ascii="Calibri" w:hAnsi="Calibri"/>
                <w:b/>
                <w:color w:val="FFFFFF"/>
                <w:sz w:val="19"/>
              </w:rPr>
              <w:t>MÓDULO III · TEMAS ESENCIALES E INTEGRACIÓN EN CHILE</w:t>
            </w:r>
          </w:p>
        </w:tc>
      </w:tr>
    </w:tbl>
    <w:p>
      <w:pPr>
        <w:pStyle w:val="Title"/>
        <w:spacing w:before="520" w:after="360"/>
        <w:outlineLvl w:val="0"/>
      </w:pPr>
      <w:bookmarkStart w:id="1047" w:name="chapter_47"/>
      <w:r>
        <w:t>Catatonía, terapia electroconvulsiva y otros tratamientos somáticos</w:t>
      </w:r>
      <w:bookmarkEnd w:id="1047"/>
    </w:p>
    <w:p>
      <w:pPr>
        <w:spacing w:after="80"/>
      </w:pPr>
      <w:r>
        <w:rPr>
          <w:rFonts w:ascii="Calibri" w:hAnsi="Calibri"/>
          <w:b/>
          <w:color w:val="246B8E"/>
          <w:sz w:val="26"/>
        </w:rPr>
        <w:t>Programa de Psiquiatría para internos de Medicina</w:t>
      </w:r>
    </w:p>
    <w:p>
      <w:r>
        <w:rPr>
          <w:rFonts w:ascii="Calibri" w:hAnsi="Calibri"/>
          <w:color w:val="6B7280"/>
          <w:sz w:val="22"/>
        </w:rPr>
        <w:t>Lectura complementaria · Chile · Versión final para revisión humana · 2026</w:t>
      </w:r>
    </w:p>
    <w:p/>
    <w:p/>
    <w:p/>
    <w:p/>
    <w:p/>
    <w:tbl>
      <w:tblPr>
        <w:tblW w:type="auto" w:w="0"/>
        <w:jc w:val="left"/>
        <w:tblLayout w:type="fixed"/>
        <w:tblLook w:firstColumn="1" w:firstRow="1" w:lastColumn="0" w:lastRow="0" w:noHBand="0" w:noVBand="1" w:val="04A0"/>
      </w:tblPr>
      <w:tblGrid>
        <w:gridCol w:w="9648"/>
      </w:tblGrid>
      <w:tr>
        <w:trPr>
          <w:tblHeader w:val="true"/>
        </w:trPr>
        <w:tc>
          <w:tcPr>
            <w:tcW w:type="dxa" w:w="9648"/>
            <w:shd w:fill="F3F5F6"/>
            <w:tcBorders>
              <w:start w:val="single" w:sz="18" w:color="2A8C82"/>
            </w:tcBorders>
            <w:tcMar>
              <w:top w:w="160" w:type="dxa"/>
              <w:start w:w="220" w:type="dxa"/>
              <w:bottom w:w="160" w:type="dxa"/>
              <w:end w:w="220" w:type="dxa"/>
            </w:tcMar>
          </w:tcPr>
          <w:p>
            <w:pPr>
              <w:spacing w:after="0"/>
            </w:pPr>
            <w:r>
              <w:rPr>
                <w:rFonts w:ascii="Calibri" w:hAnsi="Calibri"/>
                <w:i/>
                <w:color w:val="6B7280"/>
                <w:sz w:val="18"/>
              </w:rPr>
              <w:t>Versión docente final para revisión humana. Material propuesto y contextualizado a Chile; no corresponde a un programa oficial de la Pontificia Universidad Católica de Chile ni sustituye protocolos locales, supervisión clínica o evaluación especializada. Fuentes revisadas al 15 de agosto de 2026.</w:t>
            </w:r>
          </w:p>
        </w:tc>
      </w:tr>
    </w:tbl>
    <w:p>
      <w:r>
        <w:br w:type="page"/>
      </w:r>
    </w:p>
    <w:tbl>
      <w:tblPr>
        <w:tblW w:type="auto" w:w="0"/>
        <w:jc w:val="center"/>
        <w:tblLayout w:type="autofit"/>
        <w:tblLook w:firstColumn="1" w:firstRow="1" w:lastColumn="0" w:lastRow="0" w:noHBand="0" w:noVBand="1" w:val="04A0"/>
      </w:tblPr>
      <w:tblGrid>
        <w:gridCol w:w="9648"/>
      </w:tblGrid>
      <w:tr>
        <w:trPr>
          <w:tblHeader w:val="true"/>
        </w:trPr>
        <w:tc>
          <w:tcPr>
            <w:tcW w:type="dxa" w:w="9648"/>
            <w:vAlign w:val="center"/>
            <w:shd w:fill="EAF3F7"/>
            <w:tcBorders>
              <w:start w:val="single" w:sz="14" w:color="2A8C82"/>
            </w:tcBorders>
            <w:tcMar>
              <w:top w:w="130" w:type="dxa"/>
              <w:start w:w="190" w:type="dxa"/>
              <w:bottom w:w="130" w:type="dxa"/>
              <w:end w:w="190" w:type="dxa"/>
            </w:tcMar>
          </w:tcPr>
          <w:p>
            <w:pPr>
              <w:spacing w:after="0"/>
            </w:pPr>
            <w:r>
              <w:rPr>
                <w:b/>
                <w:color w:val="173A5E"/>
              </w:rPr>
              <w:t xml:space="preserve">PREGUNTA CLÍNICA  </w:t>
            </w:r>
            <w:r>
              <w:t>¿Cómo reconocer una catatonía, prevenir sus complicaciones y comprender cuándo la terapia electroconvulsiva puede ser urgente y potencialmente vital?</w:t>
            </w:r>
          </w:p>
        </w:tc>
      </w:tr>
    </w:tbl>
    <w:p>
      <w:pPr>
        <w:spacing w:after="0"/>
      </w:pPr>
    </w:p>
    <w:tbl>
      <w:tblPr>
        <w:tblW w:type="auto" w:w="0"/>
        <w:jc w:val="center"/>
        <w:tblLayout w:type="autofit"/>
        <w:tblLook w:firstColumn="1" w:firstRow="1" w:lastColumn="0" w:lastRow="0" w:noHBand="0" w:noVBand="1" w:val="04A0"/>
      </w:tblPr>
      <w:tblGrid>
        <w:gridCol w:w="9648"/>
      </w:tblGrid>
      <w:tr>
        <w:trPr>
          <w:tblHeader w:val="true"/>
        </w:trPr>
        <w:tc>
          <w:tcPr>
            <w:tcW w:type="dxa" w:w="9648"/>
            <w:vAlign w:val="center"/>
            <w:shd w:fill="EAF6F3"/>
            <w:tcBorders>
              <w:start w:val="single" w:sz="14" w:color="2A8C82"/>
            </w:tcBorders>
            <w:tcMar>
              <w:top w:w="130" w:type="dxa"/>
              <w:start w:w="190" w:type="dxa"/>
              <w:bottom w:w="130" w:type="dxa"/>
              <w:end w:w="190" w:type="dxa"/>
            </w:tcMar>
          </w:tcPr>
          <w:p>
            <w:pPr>
              <w:spacing w:after="0"/>
            </w:pPr>
            <w:r>
              <w:rPr>
                <w:b/>
                <w:color w:val="173A5E"/>
              </w:rPr>
              <w:t xml:space="preserve">IDEA CENTRAL  </w:t>
            </w:r>
            <w:r>
              <w:t>la catatonía es un síndrome neuropsiquiátrico tratable, no un subtipo de esquizofrenia ni una conducta voluntaria; su manejo combina soporte médico, búsqueda etiológica y tratamiento específico oportuno.</w:t>
            </w:r>
          </w:p>
        </w:tc>
      </w:tr>
    </w:tbl>
    <w:p>
      <w:pPr>
        <w:spacing w:after="0"/>
      </w:pPr>
    </w:p>
    <w:p>
      <w:pPr>
        <w:pStyle w:val="Heading1"/>
      </w:pPr>
      <w:r>
        <w:t>Por qué importa</w:t>
      </w:r>
    </w:p>
    <w:p>
      <w:r>
        <w:t>Mutismo, inmovilidad o resistencia al examen pueden confundirse con depresión, “oposicionismo” o falta de colaboración. La agitación catatónica, en cambio, puede atribuirse a psicosis inespecífica. Retrasar el diagnóstico expone a deshidratación, aspiración, tromboembolismo, úlceras por presión, contracturas, rabdomiólisis y muerte. Además, la terapia electroconvulsiva (TEC) todavía está rodeada de representaciones obsoletas: hoy es un procedimiento médico bajo anestesia, con indicaciones precisas, evaluación de riesgos, consentimiento y vigilancia cognitiva.</w:t>
      </w:r>
    </w:p>
    <w:p>
      <w:pPr>
        <w:pStyle w:val="Heading1"/>
      </w:pPr>
      <w:r>
        <w:t>Objetivos de aprendizaje</w:t>
      </w:r>
    </w:p>
    <w:p>
      <w:pPr>
        <w:keepNext/>
      </w:pPr>
      <w:r>
        <w:t>Al terminar este capítulo, el lector podrá:</w:t>
      </w:r>
    </w:p>
    <w:p>
      <w:pPr>
        <w:spacing w:after="60" w:line="288" w:lineRule="auto"/>
        <w:ind w:left="432" w:hanging="216"/>
      </w:pPr>
      <w:r>
        <w:t>1. Reconocer signos motores, conductuales y autonómicos de catatonía.</w:t>
      </w:r>
    </w:p>
    <w:p>
      <w:pPr>
        <w:spacing w:after="60" w:line="288" w:lineRule="auto"/>
        <w:ind w:left="432" w:hanging="216"/>
      </w:pPr>
      <w:r>
        <w:t>2. Diferenciar inicialmente catatonía, catatonía maligna, síndrome neuroléptico maligno, síndrome serotoninérgico, delirium y estatus epiléptico no convulsivo.</w:t>
      </w:r>
    </w:p>
    <w:p>
      <w:pPr>
        <w:spacing w:after="60" w:line="288" w:lineRule="auto"/>
        <w:ind w:left="432" w:hanging="216"/>
      </w:pPr>
      <w:r>
        <w:t>3. Iniciar soporte médico, prevención de complicaciones y estudio etiológico dirigido.</w:t>
      </w:r>
    </w:p>
    <w:p>
      <w:pPr>
        <w:spacing w:after="60" w:line="288" w:lineRule="auto"/>
        <w:ind w:left="432" w:hanging="216"/>
      </w:pPr>
      <w:r>
        <w:t>4. Interpretar adecuadamente un desafío monitorizado con lorazepam.</w:t>
      </w:r>
    </w:p>
    <w:p>
      <w:pPr>
        <w:spacing w:after="60" w:line="288" w:lineRule="auto"/>
        <w:ind w:left="432" w:hanging="216"/>
      </w:pPr>
      <w:r>
        <w:t>5. Reconocer indicaciones urgentes y electivas de TEC y explicar cómo se realiza una TEC modificada.</w:t>
      </w:r>
    </w:p>
    <w:p>
      <w:pPr>
        <w:spacing w:after="60" w:line="288" w:lineRule="auto"/>
        <w:ind w:left="432" w:hanging="216"/>
      </w:pPr>
      <w:r>
        <w:t>6. Aplicar principios de capacidad, consentimiento y la excepción de emergencia establecida en Chile.</w:t>
      </w:r>
    </w:p>
    <w:p>
      <w:pPr>
        <w:spacing w:after="60" w:line="288" w:lineRule="auto"/>
        <w:ind w:left="432" w:hanging="216"/>
      </w:pPr>
      <w:r>
        <w:t>7. Ubicar rTMS, ketamina/esketamina y técnicas invasivas sin considerarlas intercambiables con TEC.</w:t>
      </w:r>
    </w:p>
    <w:p>
      <w:pPr>
        <w:pStyle w:val="Heading1"/>
      </w:pPr>
      <w:r>
        <w:t>Caso clínico</w:t>
      </w:r>
    </w:p>
    <w:p>
      <w:pPr>
        <w:shd w:fill="EAF3F7"/>
        <w:keepLines/>
        <w:pBdr>
          <w:left w:val="single" w:sz="8" w:space="8" w:color="246B8E"/>
        </w:pBdr>
        <w:ind w:left="173" w:right="86"/>
      </w:pPr>
      <w:r>
        <w:t>Paula, de 43 años, tiene trastorno bipolar I y un episodio depresivo grave. Durante cinco días ha dejado de comer, beber y hablar. Permanece mirando un punto, conserva un brazo elevado al soltarlo, adopta posturas extrañas y se resiste al movimiento sin una finalidad evidente. Está taquicárdica y deshidratada. Un integrante del equipo propone haloperidol por “oposicionismo”. La prioridad no es controlar una conducta: es reconocer un posible síndrome catatónico, estabilizarla y descartar una forma maligna o una causa médica.</w:t>
      </w:r>
    </w:p>
    <w:p>
      <w:pPr>
        <w:pStyle w:val="Heading1"/>
      </w:pPr>
      <w:r>
        <w:t>1. Reconocer el síndrome, no sólo la inmovilidad</w:t>
      </w:r>
    </w:p>
    <w:p>
      <w:r>
        <w:t>La catatonía puede ser hipoactiva, hiperactiva o alternar entre ambas. Entre sus signos se encuentran estupor, catalepsia, flexibilidad cérea, mutismo, negativismo, postura mantenida, manierismos, estereotipias, muecas, ecolalia, ecopraxia y agitación no influida por estímulos externos. Los sistemas diagnósticos actuales utilizan la presencia de varios signos —habitualmente tres o más—, pero el conteo no reemplaza el examen cuidadoso ni determina la causa.</w:t>
      </w:r>
    </w:p>
    <w:p>
      <w:r>
        <w:t xml:space="preserve">Conviene describir lo observado. </w:t>
      </w:r>
      <w:r>
        <w:rPr>
          <w:b/>
        </w:rPr>
        <w:t>Postura</w:t>
      </w:r>
      <w:r>
        <w:t xml:space="preserve"> es mantener espontáneamente una posición contra gravedad; </w:t>
      </w:r>
      <w:r>
        <w:rPr>
          <w:b/>
        </w:rPr>
        <w:t>catalepsia</w:t>
      </w:r>
      <w:r>
        <w:t xml:space="preserve">, la inducción pasiva de una postura que queda sostenida; </w:t>
      </w:r>
      <w:r>
        <w:rPr>
          <w:b/>
        </w:rPr>
        <w:t>flexibilidad cérea</w:t>
      </w:r>
      <w:r>
        <w:t xml:space="preserve">, una resistencia leve y uniforme al reposicionamiento; </w:t>
      </w:r>
      <w:r>
        <w:rPr>
          <w:b/>
        </w:rPr>
        <w:t>negativismo</w:t>
      </w:r>
      <w:r>
        <w:t>, oposición o ausencia de respuesta sin una razón aparente. Ninguno equivale a “mala voluntad”. La Bush–Francis Catatonia Rating Scale ayuda a pesquisar, registrar gravedad y comparar respuesta, pero no es una prueba etiológica ni excluye diagnósticos competidores.</w:t>
      </w:r>
    </w:p>
    <w:p>
      <w:r>
        <w:t>Examine signos vitales, hidratación, piel, tono, reflejos, clonus, nivel de conciencia y atención. Fiebre, inestabilidad autonómica, rigidez marcada, CK elevada o deterioro rápido sugieren catatonía maligna o síndrome neuroléptico maligno (SNM) y requieren hospitalización urgente, vigilancia estrecha y tratamiento temprano.</w:t>
      </w:r>
    </w:p>
    <w:p>
      <w:pPr>
        <w:pStyle w:val="Heading1"/>
      </w:pPr>
      <w:r>
        <w:t>2. Etiologías y diagnósticos que no se deben perder</w:t>
      </w:r>
    </w:p>
    <w:p>
      <w:r>
        <w:t>La catatonía se asocia con mayor frecuencia de lo que suele enseñarse a trastornos del ánimo, especialmente bipolaridad y depresión grave; también aparece en psicosis, autismo y otras condiciones psiquiátricas. Las causas médicas incluyen encefalitis autoinmune, epilepsia, infecciones, alteraciones metabólicas, lesiones estructurales y enfermedades neurodegenerativas. Revise intoxicaciones y abstinencias, incluida suspensión de benzodiazepinas o de fármacos dopaminérgicos.</w:t>
      </w:r>
    </w:p>
    <w:p>
      <w:r>
        <w:t xml:space="preserve">El </w:t>
      </w:r>
      <w:r>
        <w:rPr>
          <w:b/>
        </w:rPr>
        <w:t>delirium</w:t>
      </w:r>
      <w:r>
        <w:t xml:space="preserve"> se caracteriza por alteración aguda de atención y conciencia, fluctuante, y puede coexistir con catatonía; esa coexistencia obliga a buscar enfermedad médica, no a descartar uno de los síndromes por definición. En el </w:t>
      </w:r>
      <w:r>
        <w:rPr>
          <w:b/>
        </w:rPr>
        <w:t>SNM</w:t>
      </w:r>
      <w:r>
        <w:t xml:space="preserve"> suelen existir exposición reciente o cambio de un antagonista dopaminérgico, hipertermia, rigidez, alteración mental, disautonomía y elevación de CK. El </w:t>
      </w:r>
      <w:r>
        <w:rPr>
          <w:b/>
        </w:rPr>
        <w:t>síndrome serotoninérgico</w:t>
      </w:r>
      <w:r>
        <w:t xml:space="preserve"> se instala tras exposición serotoninérgica y favorece clonus, hiperreflexia, temblor y síntomas gastrointestinales. El </w:t>
      </w:r>
      <w:r>
        <w:rPr>
          <w:b/>
        </w:rPr>
        <w:t>estatus no convulsivo</w:t>
      </w:r>
      <w:r>
        <w:t xml:space="preserve"> puede producir inmovilidad, mutismo o conductas extrañas y requiere electroencefalograma cuando la sospecha es razonable.</w:t>
      </w:r>
    </w:p>
    <w:p>
      <w:r>
        <w:t>Otros diferenciales son mutismo acinético, parkinsonismo grave, estado de mínima conciencia, síndrome de enclaustramiento y trastorno neurológico funcional. La historia temporal, examen neurológico, fármacos y estudios dirigidos son decisivos. No es prudente aumentar automáticamente antipsicóticos ante fiebre y rigidez: en catatonía maligna o SNM pueden empeorar el cuadro.</w:t>
      </w:r>
    </w:p>
    <w:p>
      <w:pPr>
        <w:pStyle w:val="Heading1"/>
      </w:pPr>
      <w:r>
        <w:t>3. Estabilización y estudio inicial</w:t>
      </w:r>
    </w:p>
    <w:p>
      <w:r>
        <w:t>Comience por vía aérea, respiración, circulación, glicemia y signos vitales seriados. Corrija deshidratación y alteraciones hidroelectrolíticas; evalúe deglución, aspiración, nutrición, tiamina y riesgo de realimentación. Indique prevención individualizada de tromboembolismo, cuidado de piel, movilización, protección ocular, manejo vesical e intestinal y vigilancia renal. La catatonía no impide que el paciente tenga dolor u otra urgencia médica.</w:t>
      </w:r>
    </w:p>
    <w:p>
      <w:r>
        <w:t>La investigación se guía por contexto. Es razonable considerar hemograma, electrolitos, función renal y hepática, CK, marcadores inflamatorios, orina, tóxicos, embarazo y electrocardiograma. EEG, neuroimagen, punción lumbar, estudio infeccioso o autoinmune se solicitan cuando curso, examen o antecedentes lo justifican. Haga conciliación completa: antipsicóticos, antieméticos dopaminérgicos, litio, serotoninérgicos, benzodiazepinas, sustancias y cambios recientes.</w:t>
      </w:r>
    </w:p>
    <w:p>
      <w:r>
        <w:t>Registre signos catatónicos antes de intervenir. Un desafío frecuente utiliza lorazepam 1–2 mg por vía intravenosa o intramuscular, con ajuste por edad, fragilidad y riesgo respiratorio, seguido de reevaluación clínica en minutos y monitorización de sedación, ventilación y caídas. Una mejoría clara apoya catatonía y orienta tratamiento; no demuestra su etiología. Una prueba negativa tampoco la excluye: dosis, tiempo, gravedad y subtipo influyen. El soporte no se posterga mientras se espera respuesta. El esquema posterior de benzodiazepinas requiere indicación, titulación y vigilancia especializada.</w:t>
      </w:r>
    </w:p>
    <w:p>
      <w:pPr>
        <w:pStyle w:val="Heading1"/>
      </w:pPr>
      <w:r>
        <w:t>4. Cuándo la TEC puede ser temprana</w:t>
      </w:r>
    </w:p>
    <w:p>
      <w:r>
        <w:t>La TEC debe considerarse con urgencia en catatonía maligna, deterioro físico, inanición o respuesta insuficiente a benzodiazepinas. También es una opción especialmente eficaz en depresión grave psicótica, resistente o con rechazo peligroso de alimentos y líquidos; riesgo suicida alto cuando se necesita respuesta rápida; manía grave seleccionada y algunas psicosis resistentes. La elección incorpora gravedad, urgencia, tratamientos previos, preferencias, comorbilidad y disponibilidad.</w:t>
      </w:r>
    </w:p>
    <w:p>
      <w:r>
        <w:t>“Último recurso” es una regla incorrecta: una larga secuencia farmacológica puede ser dañina cuando el tiempo importa. Tampoco toda depresión requiere TEC. En catatonía grave, la consulta precoz con un equipo que pueda realizarla permite evaluación paralela y evita demoras administrativas.</w:t>
      </w:r>
    </w:p>
    <w:p>
      <w:r>
        <w:t>La TEC contemporánea o modificada se realiza con anestesia general breve, relajación neuromuscular, oxigenación y monitorización fisiológica. Un estímulo eléctrico controlado induce una convulsión terapéutica breve, seguida con EEG y respuesta motora; después hay recuperación postanestésica. Participan psiquiatría, anestesiología y enfermería. La posición de electrodos y dosificación se individualizan: la unilateral derecha suele reducir carga cognitiva; una configuración bilateral puede preferirse cuando la rapidez o eficacia pesan más, con mayor riesgo de efectos cognitivos. El curso agudo se ajusta a respuesta y tolerancia; algunas personas requieren continuación o mantención.</w:t>
      </w:r>
    </w:p>
    <w:p>
      <w:pPr>
        <w:pStyle w:val="Heading1"/>
      </w:pPr>
      <w:r>
        <w:t>5. Riesgo, cognición y consentimiento en Chile</w:t>
      </w:r>
    </w:p>
    <w:p>
      <w:r>
        <w:t>Antes del procedimiento se realizan evaluación psiquiátrica, médica y anestésica, exámenes proporcionales al riesgo y registro sintomático y cognitivo basal. La Norma Técnica MINSAL N.º 248 de 2025 no formula contraindicaciones absolutas, pero enfermedad cardiovascular inestable, hipertensión endocraneana, patología neurológica reciente, trastornos electrolíticos y alto riesgo anestésico exigen optimización y decisión especializada. Embarazo, vejez, demencia o epilepsia no son prohibiciones automáticas.</w:t>
      </w:r>
    </w:p>
    <w:p>
      <w:r>
        <w:t>Los efectos agudos más comunes incluyen cefalea, mialgias, náuseas y confusión. La memoria anterógrada suele recuperarse después del curso; pueden persistir lagunas retrógradas, incluso autobiográficas. Deben explicarse incertidumbre y alternativas, vigilar cognición y ajustar técnica o frecuencia cuando corresponda. Es tan inexacto negar efectos cognitivos como describir la TEC como daño cerebral inevitable.</w:t>
      </w:r>
    </w:p>
    <w:p>
      <w:r>
        <w:t>La capacidad se presume y se evalúa para esta decisión, ofreciendo información comprensible y apoyos. El consentimiento es un proceso revocable. Una hospitalización involuntaria no autoriza por sí sola TEC ni otros tratamientos, y la participación familiar no permite ignorar una voluntad o preferencia explícita y persistente.</w:t>
      </w:r>
    </w:p>
    <w:p>
      <w:r>
        <w:t xml:space="preserve">La excepción sin consentimiento es extraordinaria: se restringe a una emergencia en una persona que no puede expresar su voluntad, cuando omitir atención inmediata implica riesgo vital o secuela funcional grave. Si se realiza TEC bajo esta excepción, la Norma Técnica N.º 248 exige notificar a la Comisión Nacional de Protección de los Derechos de las Personas con Enfermedades Mentales (CONAPPREM) dentro de un máximo de </w:t>
      </w:r>
      <w:r>
        <w:rPr>
          <w:b/>
        </w:rPr>
        <w:t>diez días hábiles</w:t>
      </w:r>
      <w:r>
        <w:t>. La justificación, deliberación, información entregada y evolución deben quedar documentadas.</w:t>
      </w:r>
    </w:p>
    <w:p>
      <w:pPr>
        <w:pStyle w:val="Heading1"/>
      </w:pPr>
      <w:r>
        <w:t>6. Otros tratamientos somáticos no equivalentes</w:t>
      </w:r>
    </w:p>
    <w:p>
      <w:r>
        <w:t>La estimulación magnética transcraneal repetitiva y la estimulación theta-burst son ambulatorias, no requieren anestesia ni inducen intencionalmente una convulsión; se utilizan sobre todo en depresión resistente no psicótica. Esketamina intranasal es un fármaco administrado bajo supervisión, con vigilancia de presión arterial, sedación, disociación y riesgo de uso indebido. Ketamina intravenosa se usa en centros especializados y con frecuencia fuera de indicación regulatoria específica para depresión.</w:t>
      </w:r>
    </w:p>
    <w:p>
      <w:r>
        <w:t>La estimulación del nervio vago requiere implante y tiene uso excepcional; estimulación cerebral profunda y otras técnicas se reservan para indicaciones muy especializadas o investigación. Ninguna reemplaza automáticamente a TEC en catatonía maligna, depresión psicótica con inanición o una urgencia vital. “Somático” describe una modalidad biológica, no una jerarquía de eficacia ni una licencia para omitir psicoterapia, rehabilitación y decisiones compartidas.</w:t>
      </w:r>
    </w:p>
    <w:p>
      <w:pPr>
        <w:pStyle w:val="Heading1"/>
      </w:pPr>
      <w:r>
        <w:t>Errores frecuentes</w:t>
      </w:r>
    </w:p>
    <w:p>
      <w:pPr>
        <w:pStyle w:val="ListBullet"/>
      </w:pPr>
      <w:r>
        <w:t>Enseñar catatonía como subtipo de esquizofrenia o interpretar negativismo como voluntariedad.</w:t>
      </w:r>
    </w:p>
    <w:p>
      <w:pPr>
        <w:pStyle w:val="ListBullet"/>
      </w:pPr>
      <w:r>
        <w:t>Suponer que un desafío con lorazepam negativo descarta el síndrome.</w:t>
      </w:r>
    </w:p>
    <w:p>
      <w:pPr>
        <w:pStyle w:val="ListBullet"/>
      </w:pPr>
      <w:r>
        <w:t>Aumentar antipsicóticos ante fiebre y rigidez sin reconsiderar SNM o catatonía maligna.</w:t>
      </w:r>
    </w:p>
    <w:p>
      <w:pPr>
        <w:pStyle w:val="ListBullet"/>
      </w:pPr>
      <w:r>
        <w:t>Reservar TEC siempre para el final o describirla como procedimiento sin anestesia.</w:t>
      </w:r>
    </w:p>
    <w:p>
      <w:pPr>
        <w:pStyle w:val="ListBullet"/>
      </w:pPr>
      <w:r>
        <w:t>Afirmar que no afecta memoria o, en el extremo opuesto, que causa inevitablemente daño cerebral.</w:t>
      </w:r>
    </w:p>
    <w:p>
      <w:pPr>
        <w:pStyle w:val="ListBullet"/>
      </w:pPr>
      <w:r>
        <w:t>Confundir hospitalización involuntaria o autorización familiar con consentimiento para TEC.</w:t>
      </w:r>
    </w:p>
    <w:p>
      <w:pPr>
        <w:pStyle w:val="ListBullet"/>
      </w:pPr>
      <w:r>
        <w:t>Presentar rTMS o esketamina como sustitutos equivalentes en una emergencia catatónica.</w:t>
      </w:r>
    </w:p>
    <w:p>
      <w:pPr>
        <w:pStyle w:val="Heading1"/>
      </w:pPr>
      <w:r>
        <w:t>Para recordar</w:t>
      </w:r>
    </w:p>
    <w:p>
      <w:pPr>
        <w:spacing w:after="60" w:line="288" w:lineRule="auto"/>
        <w:ind w:left="432" w:hanging="216"/>
        <w:shd w:fill="EAF6F3"/>
        <w:keepNext/>
        <w:keepLines/>
        <w:pBdr>
          <w:left w:val="single" w:sz="8" w:space="8" w:color="2A8C82"/>
        </w:pBdr>
      </w:pPr>
      <w:r>
        <w:t>1. Catatonía es un síndrome: reconocerla no establece la etiología.</w:t>
      </w:r>
    </w:p>
    <w:p>
      <w:pPr>
        <w:spacing w:after="60" w:line="288" w:lineRule="auto"/>
        <w:ind w:left="432" w:hanging="216"/>
        <w:shd w:fill="EAF6F3"/>
        <w:keepNext/>
        <w:keepLines/>
        <w:pBdr>
          <w:left w:val="single" w:sz="8" w:space="8" w:color="2A8C82"/>
        </w:pBdr>
      </w:pPr>
      <w:r>
        <w:t>2. Soporte médico y prevención de complicaciones comienzan de inmediato.</w:t>
      </w:r>
    </w:p>
    <w:p>
      <w:pPr>
        <w:spacing w:after="60" w:line="288" w:lineRule="auto"/>
        <w:ind w:left="432" w:hanging="216"/>
        <w:shd w:fill="EAF6F3"/>
        <w:keepNext/>
        <w:keepLines/>
        <w:pBdr>
          <w:left w:val="single" w:sz="8" w:space="8" w:color="2A8C82"/>
        </w:pBdr>
      </w:pPr>
      <w:r>
        <w:t>3. La respuesta a lorazepam apoya el diagnóstico; la ausencia de respuesta no lo excluye.</w:t>
      </w:r>
    </w:p>
    <w:p>
      <w:pPr>
        <w:spacing w:after="60" w:line="288" w:lineRule="auto"/>
        <w:ind w:left="432" w:hanging="216"/>
        <w:shd w:fill="EAF6F3"/>
        <w:keepNext/>
        <w:keepLines/>
        <w:pBdr>
          <w:left w:val="single" w:sz="8" w:space="8" w:color="2A8C82"/>
        </w:pBdr>
      </w:pPr>
      <w:r>
        <w:t>4. TEC modificada puede ser un tratamiento temprano y vital, con anestesia y monitorización.</w:t>
      </w:r>
    </w:p>
    <w:p>
      <w:pPr>
        <w:spacing w:after="60" w:line="288" w:lineRule="auto"/>
        <w:ind w:left="432" w:hanging="216"/>
        <w:shd w:fill="EAF6F3"/>
        <w:keepLines/>
        <w:pBdr>
          <w:left w:val="single" w:sz="8" w:space="8" w:color="2A8C82"/>
        </w:pBdr>
      </w:pPr>
      <w:r>
        <w:t>5. Consentimiento, vigilancia cognitiva y notificación a CONAPPREM cuando corresponde son parte del tratamiento.</w:t>
      </w:r>
    </w:p>
    <w:p>
      <w:pPr>
        <w:pStyle w:val="Heading1"/>
      </w:pPr>
      <w:r>
        <w:t>Bibliografía esencial</w:t>
      </w:r>
    </w:p>
    <w:p>
      <w:pPr>
        <w:pStyle w:val="Bibliography"/>
      </w:pPr>
      <w:r>
        <w:t xml:space="preserve">• Rogers JP, Oldham MA, Fricchione G, et al. Evidence-based consensus guidelines for the management of catatonia: recommendations from the British Association for Psychopharmacology. </w:t>
      </w:r>
      <w:r>
        <w:rPr>
          <w:i/>
        </w:rPr>
        <w:t>J Psychopharmacol</w:t>
      </w:r>
      <w:r>
        <w:t xml:space="preserve">. 2023;37(4):327–369. </w:t>
      </w:r>
      <w:hyperlink r:id="rId139">
        <w:r>
          <w:rPr>
            <w:color w:val="246B8E"/>
            <w:u w:val="single"/>
          </w:rPr>
          <w:t>Artículo</w:t>
        </w:r>
      </w:hyperlink>
      <w:r>
        <w:t>.</w:t>
      </w:r>
    </w:p>
    <w:p>
      <w:pPr>
        <w:pStyle w:val="Bibliography"/>
      </w:pPr>
      <w:r>
        <w:t xml:space="preserve">• Ministerio de Salud de Chile. </w:t>
      </w:r>
      <w:r>
        <w:rPr>
          <w:i/>
        </w:rPr>
        <w:t>Norma Técnica N.º 248 para el uso de Terapia Electroconvulsiva</w:t>
      </w:r>
      <w:r>
        <w:t xml:space="preserve">. Aprobada por Decreto Exento N.º 43, 9 de septiembre de 2025. </w:t>
      </w:r>
      <w:hyperlink r:id="rId39">
        <w:r>
          <w:rPr>
            <w:color w:val="246B8E"/>
            <w:u w:val="single"/>
          </w:rPr>
          <w:t>PDF oficial</w:t>
        </w:r>
      </w:hyperlink>
      <w:r>
        <w:t>.</w:t>
      </w:r>
    </w:p>
    <w:p>
      <w:pPr>
        <w:pStyle w:val="Bibliography"/>
      </w:pPr>
      <w:r>
        <w:t xml:space="preserve">• Waite J, Easton A, eds. </w:t>
      </w:r>
      <w:r>
        <w:rPr>
          <w:i/>
        </w:rPr>
        <w:t>The ECT Handbook</w:t>
      </w:r>
      <w:r>
        <w:t>. 4th ed. London: Royal College of Psychiatrists; 2013.</w:t>
      </w:r>
    </w:p>
    <w:p>
      <w:pPr>
        <w:pStyle w:val="Bibliography"/>
      </w:pPr>
      <w:r>
        <w:t xml:space="preserve">• Chile. Ley N.º 20.584, que regula derechos y deberes en relación con acciones vinculadas a la atención en salud. </w:t>
      </w:r>
      <w:hyperlink r:id="rId140">
        <w:r>
          <w:rPr>
            <w:color w:val="246B8E"/>
            <w:u w:val="single"/>
          </w:rPr>
          <w:t>Texto oficial</w:t>
        </w:r>
      </w:hyperlink>
      <w:r>
        <w:t>.</w:t>
      </w:r>
    </w:p>
    <w:p>
      <w:pPr>
        <w:pStyle w:val="Bibliography"/>
      </w:pPr>
      <w:r>
        <w:t xml:space="preserve">• Chile. Ley N.º 21.331, del reconocimiento y protección de los derechos de las personas en la atención de salud mental. </w:t>
      </w:r>
      <w:hyperlink r:id="rId12">
        <w:r>
          <w:rPr>
            <w:color w:val="246B8E"/>
            <w:u w:val="single"/>
          </w:rPr>
          <w:t>Texto oficial</w:t>
        </w:r>
      </w:hyperlink>
      <w:r>
        <w:t>.</w:t>
      </w:r>
    </w:p>
    <w:p>
      <w:r>
        <w:br w:type="page"/>
      </w:r>
    </w:p>
    <w:p>
      <w:pPr>
        <w:spacing w:after="480"/>
      </w:pPr>
      <w:r>
        <w:rPr>
          <w:rFonts w:ascii="Calibri" w:hAnsi="Calibri"/>
          <w:b/>
          <w:color w:val="2A8C82"/>
          <w:sz w:val="20"/>
        </w:rPr>
        <w:t>CAPÍTULO 48 · MATERIAL PARA ESTUDIANTES</w:t>
      </w:r>
    </w:p>
    <w:tbl>
      <w:tblPr>
        <w:tblW w:type="auto" w:w="0"/>
        <w:jc w:val="left"/>
        <w:tblLayout w:type="fixed"/>
        <w:tblLook w:firstColumn="1" w:firstRow="1" w:lastColumn="0" w:lastRow="0" w:noHBand="0" w:noVBand="1" w:val="04A0"/>
      </w:tblPr>
      <w:tblGrid>
        <w:gridCol w:w="9648"/>
      </w:tblGrid>
      <w:tr>
        <w:trPr>
          <w:tblHeader w:val="true"/>
        </w:trPr>
        <w:tc>
          <w:tcPr>
            <w:tcW w:type="dxa" w:w="9072"/>
            <w:shd w:fill="173A5E"/>
            <w:tcMar>
              <w:top w:w="120" w:type="dxa"/>
              <w:start w:w="220" w:type="dxa"/>
              <w:bottom w:w="120" w:type="dxa"/>
              <w:end w:w="220" w:type="dxa"/>
            </w:tcMar>
          </w:tcPr>
          <w:p>
            <w:pPr>
              <w:spacing w:after="0"/>
            </w:pPr>
            <w:r>
              <w:rPr>
                <w:rFonts w:ascii="Calibri" w:hAnsi="Calibri"/>
                <w:b/>
                <w:color w:val="FFFFFF"/>
                <w:sz w:val="19"/>
              </w:rPr>
              <w:t>MÓDULO III · TEMAS ESENCIALES E INTEGRACIÓN EN CHILE</w:t>
            </w:r>
          </w:p>
        </w:tc>
      </w:tr>
    </w:tbl>
    <w:p>
      <w:pPr>
        <w:pStyle w:val="Title"/>
        <w:spacing w:before="520" w:after="360"/>
        <w:outlineLvl w:val="0"/>
      </w:pPr>
      <w:bookmarkStart w:id="1048" w:name="chapter_48"/>
      <w:r>
        <w:t>Derechos, capacidad, consentimiento y hospitalización psiquiátrica en Chile</w:t>
      </w:r>
      <w:bookmarkEnd w:id="1048"/>
    </w:p>
    <w:p>
      <w:pPr>
        <w:spacing w:after="80"/>
      </w:pPr>
      <w:r>
        <w:rPr>
          <w:rFonts w:ascii="Calibri" w:hAnsi="Calibri"/>
          <w:b/>
          <w:color w:val="246B8E"/>
          <w:sz w:val="26"/>
        </w:rPr>
        <w:t>Programa de Psiquiatría para internos de Medicina</w:t>
      </w:r>
    </w:p>
    <w:p>
      <w:r>
        <w:rPr>
          <w:rFonts w:ascii="Calibri" w:hAnsi="Calibri"/>
          <w:color w:val="6B7280"/>
          <w:sz w:val="22"/>
        </w:rPr>
        <w:t>Lectura complementaria · Chile · Versión final para revisión humana · 2026</w:t>
      </w:r>
    </w:p>
    <w:p/>
    <w:p/>
    <w:p/>
    <w:p/>
    <w:p/>
    <w:tbl>
      <w:tblPr>
        <w:tblW w:type="auto" w:w="0"/>
        <w:jc w:val="left"/>
        <w:tblLayout w:type="fixed"/>
        <w:tblLook w:firstColumn="1" w:firstRow="1" w:lastColumn="0" w:lastRow="0" w:noHBand="0" w:noVBand="1" w:val="04A0"/>
      </w:tblPr>
      <w:tblGrid>
        <w:gridCol w:w="9648"/>
      </w:tblGrid>
      <w:tr>
        <w:trPr>
          <w:tblHeader w:val="true"/>
        </w:trPr>
        <w:tc>
          <w:tcPr>
            <w:tcW w:type="dxa" w:w="9648"/>
            <w:shd w:fill="F3F5F6"/>
            <w:tcBorders>
              <w:start w:val="single" w:sz="18" w:color="2A8C82"/>
            </w:tcBorders>
            <w:tcMar>
              <w:top w:w="160" w:type="dxa"/>
              <w:start w:w="220" w:type="dxa"/>
              <w:bottom w:w="160" w:type="dxa"/>
              <w:end w:w="220" w:type="dxa"/>
            </w:tcMar>
          </w:tcPr>
          <w:p>
            <w:pPr>
              <w:spacing w:after="0"/>
            </w:pPr>
            <w:r>
              <w:rPr>
                <w:rFonts w:ascii="Calibri" w:hAnsi="Calibri"/>
                <w:i/>
                <w:color w:val="6B7280"/>
                <w:sz w:val="18"/>
              </w:rPr>
              <w:t>Versión docente final para revisión humana. Material propuesto y contextualizado a Chile; no corresponde a un programa oficial de la Pontificia Universidad Católica de Chile ni sustituye protocolos locales, supervisión clínica o evaluación especializada. Fuentes revisadas al 15 de agosto de 2026.</w:t>
            </w:r>
          </w:p>
        </w:tc>
      </w:tr>
    </w:tbl>
    <w:p>
      <w:r>
        <w:br w:type="page"/>
      </w:r>
    </w:p>
    <w:tbl>
      <w:tblPr>
        <w:tblW w:type="auto" w:w="0"/>
        <w:jc w:val="center"/>
        <w:tblLayout w:type="autofit"/>
        <w:tblLook w:firstColumn="1" w:firstRow="1" w:lastColumn="0" w:lastRow="0" w:noHBand="0" w:noVBand="1" w:val="04A0"/>
      </w:tblPr>
      <w:tblGrid>
        <w:gridCol w:w="9648"/>
      </w:tblGrid>
      <w:tr>
        <w:trPr>
          <w:tblHeader w:val="true"/>
        </w:trPr>
        <w:tc>
          <w:tcPr>
            <w:tcW w:type="dxa" w:w="9648"/>
            <w:vAlign w:val="center"/>
            <w:shd w:fill="EAF3F7"/>
            <w:tcBorders>
              <w:start w:val="single" w:sz="14" w:color="2A8C82"/>
            </w:tcBorders>
            <w:tcMar>
              <w:top w:w="130" w:type="dxa"/>
              <w:start w:w="190" w:type="dxa"/>
              <w:bottom w:w="130" w:type="dxa"/>
              <w:end w:w="190" w:type="dxa"/>
            </w:tcMar>
          </w:tcPr>
          <w:p>
            <w:pPr>
              <w:spacing w:after="0"/>
            </w:pPr>
            <w:r>
              <w:rPr>
                <w:b/>
                <w:color w:val="173A5E"/>
              </w:rPr>
              <w:t xml:space="preserve">PREGUNTA CLÍNICA  </w:t>
            </w:r>
            <w:r>
              <w:t>¿Cuándo puede actuarse sin consentimiento y cómo se preservan los derechos durante una crisis psiquiátrica?</w:t>
            </w:r>
          </w:p>
        </w:tc>
      </w:tr>
    </w:tbl>
    <w:p>
      <w:pPr>
        <w:spacing w:after="0"/>
      </w:pPr>
    </w:p>
    <w:tbl>
      <w:tblPr>
        <w:tblW w:type="auto" w:w="0"/>
        <w:jc w:val="center"/>
        <w:tblLayout w:type="autofit"/>
        <w:tblLook w:firstColumn="1" w:firstRow="1" w:lastColumn="0" w:lastRow="0" w:noHBand="0" w:noVBand="1" w:val="04A0"/>
      </w:tblPr>
      <w:tblGrid>
        <w:gridCol w:w="9648"/>
      </w:tblGrid>
      <w:tr>
        <w:trPr>
          <w:tblHeader w:val="true"/>
        </w:trPr>
        <w:tc>
          <w:tcPr>
            <w:tcW w:type="dxa" w:w="9648"/>
            <w:vAlign w:val="center"/>
            <w:shd w:fill="EAF6F3"/>
            <w:tcBorders>
              <w:start w:val="single" w:sz="14" w:color="2A8C82"/>
            </w:tcBorders>
            <w:tcMar>
              <w:top w:w="130" w:type="dxa"/>
              <w:start w:w="190" w:type="dxa"/>
              <w:bottom w:w="130" w:type="dxa"/>
              <w:end w:w="190" w:type="dxa"/>
            </w:tcMar>
          </w:tcPr>
          <w:p>
            <w:pPr>
              <w:spacing w:after="0"/>
            </w:pPr>
            <w:r>
              <w:rPr>
                <w:b/>
                <w:color w:val="173A5E"/>
              </w:rPr>
              <w:t xml:space="preserve">IDEA CENTRAL  </w:t>
            </w:r>
            <w:r>
              <w:t>diagnóstico, capacidad, consentimiento, riesgo, hospitalización y autorización de tratamiento son decisiones relacionadas, pero no equivalentes.</w:t>
            </w:r>
          </w:p>
        </w:tc>
      </w:tr>
    </w:tbl>
    <w:p>
      <w:pPr>
        <w:spacing w:after="0"/>
      </w:pPr>
    </w:p>
    <w:p>
      <w:pPr>
        <w:pStyle w:val="Heading1"/>
      </w:pPr>
      <w:r>
        <w:t>Por qué importa</w:t>
      </w:r>
    </w:p>
    <w:p>
      <w:r>
        <w:t>En una crisis, la urgencia clínica puede llevar a atajos: declarar incapacidad por tener psicosis, pedir a un familiar que “firme por” un adulto, ingresar por razones sociales o suponer que la hospitalización involuntaria autoriza cualquier tratamiento. Estos errores lesionan derechos y también producen mala medicina. La decisión correcta requiere describir riesgo, apoyar la autonomía, usar la alternativa eficaz menos restrictiva y respetar un procedimiento con plazos verificables.</w:t>
      </w:r>
    </w:p>
    <w:p>
      <w:r>
        <w:t xml:space="preserve">El marco chileno se apoya en las leyes 20.584 y 21.331 y en el Decreto Supremo N.º 9 de 2024 del Ministerio de Salud. Este reglamento fue publicado el </w:t>
      </w:r>
      <w:r>
        <w:rPr>
          <w:b/>
        </w:rPr>
        <w:t>3 de octubre de 2025</w:t>
      </w:r>
      <w:r>
        <w:t xml:space="preserve">, entró en vigencia el </w:t>
      </w:r>
      <w:r>
        <w:rPr>
          <w:b/>
        </w:rPr>
        <w:t>2 de diciembre de 2025</w:t>
      </w:r>
      <w:r>
        <w:t xml:space="preserve"> y desde entonces derogó el DS 570/1998. Debe nombrarse DS 9/2024 —año de su dictación—, no “DS 9/2025”.</w:t>
      </w:r>
    </w:p>
    <w:p>
      <w:pPr>
        <w:pStyle w:val="Heading1"/>
      </w:pPr>
      <w:r>
        <w:t>Objetivos de aprendizaje</w:t>
      </w:r>
    </w:p>
    <w:p>
      <w:pPr>
        <w:keepNext/>
      </w:pPr>
      <w:r>
        <w:t>Al terminar este capítulo, el lector podrá:</w:t>
      </w:r>
    </w:p>
    <w:p>
      <w:pPr>
        <w:spacing w:after="60" w:line="288" w:lineRule="auto"/>
        <w:ind w:left="432" w:hanging="216"/>
      </w:pPr>
      <w:r>
        <w:t>1. Evaluar capacidad para una decisión concreta y ofrecer apoyos antes de sustituir voluntad.</w:t>
      </w:r>
    </w:p>
    <w:p>
      <w:pPr>
        <w:spacing w:after="60" w:line="288" w:lineRule="auto"/>
        <w:ind w:left="432" w:hanging="216"/>
      </w:pPr>
      <w:r>
        <w:t>2. Diferenciar consentimiento, rechazo competente y excepción de emergencia.</w:t>
      </w:r>
    </w:p>
    <w:p>
      <w:pPr>
        <w:spacing w:after="60" w:line="288" w:lineRule="auto"/>
        <w:ind w:left="432" w:hanging="216"/>
      </w:pPr>
      <w:r>
        <w:t>3. Manejar solicitudes familiares e información clínica respetando confidencialidad.</w:t>
      </w:r>
    </w:p>
    <w:p>
      <w:pPr>
        <w:spacing w:after="60" w:line="288" w:lineRule="auto"/>
        <w:ind w:left="432" w:hanging="216"/>
      </w:pPr>
      <w:r>
        <w:t>4. Reconocer el umbral y los seis requisitos acumulativos de hospitalización involuntaria.</w:t>
      </w:r>
    </w:p>
    <w:p>
      <w:pPr>
        <w:spacing w:after="60" w:line="288" w:lineRule="auto"/>
        <w:ind w:left="432" w:hanging="216"/>
      </w:pPr>
      <w:r>
        <w:t>5. Distinguir hospitalización de urgencia, administrativa y judicial.</w:t>
      </w:r>
    </w:p>
    <w:p>
      <w:pPr>
        <w:spacing w:after="60" w:line="288" w:lineRule="auto"/>
        <w:ind w:left="432" w:hanging="216"/>
      </w:pPr>
      <w:r>
        <w:t>6. Aplicar correctamente los hitos de 24, 48 y 72 horas, revisión semanal y control cada 30 días.</w:t>
      </w:r>
    </w:p>
    <w:p>
      <w:pPr>
        <w:spacing w:after="60" w:line="288" w:lineRule="auto"/>
        <w:ind w:left="432" w:hanging="216"/>
      </w:pPr>
      <w:r>
        <w:t>7. Separar la decisión de hospitalizar de la autorización de cada tratamiento y restricción.</w:t>
      </w:r>
    </w:p>
    <w:p>
      <w:pPr>
        <w:pStyle w:val="Heading1"/>
      </w:pPr>
      <w:r>
        <w:t>Caso clínico</w:t>
      </w:r>
    </w:p>
    <w:p>
      <w:pPr>
        <w:shd w:fill="EAF3F7"/>
        <w:keepLines/>
        <w:pBdr>
          <w:left w:val="single" w:sz="8" w:space="8" w:color="246B8E"/>
        </w:pBdr>
        <w:ind w:left="173" w:right="86"/>
      </w:pPr>
      <w:r>
        <w:t>Matías, de 31 años, presenta manía psicótica. Afirma que puede volar e intenta acceder a una azotea. Rechaza permanecer en el hospital. Su padre exige toda la ficha y ofrece “autorizar todo”. Matías había designado a su hermana como persona de apoyo y había expresado que deseaba evitar haloperidol por una distonía previa. El equipo debe atender un riesgo inminente sin borrar su historia, preferencias ni derechos.</w:t>
      </w:r>
    </w:p>
    <w:p>
      <w:pPr>
        <w:pStyle w:val="Heading1"/>
      </w:pPr>
      <w:r>
        <w:t>1. Marco de derechos: lo que no se pierde al enfermar</w:t>
      </w:r>
    </w:p>
    <w:p>
      <w:r>
        <w:t>Toda persona conserva dignidad, privacidad, información comprensible, participación en su plan, comunicación con personas significativas y continuidad de cuidados. La Ley 21.331 enfatiza apoyos, preferencias y atención comunitaria. Una hospitalización involuntaria es una privación excepcional de libertad con finalidad exclusivamente terapéutica; no es sanción, mecanismo de obediencia ni solución para pobreza, falta de vivienda, conflicto familiar o discapacidad por sí sola.</w:t>
      </w:r>
    </w:p>
    <w:p>
      <w:r>
        <w:t>El diagnóstico no determina capacidad y la conducta inusual no elimina derechos. El equipo debe ofrecer tratamiento en el entorno menos restrictivo que sea clínicamente eficaz. También debe registrar por qué una alternativa ambulatoria, apoyo intensivo o intervención en crisis no basta. Los protocolos locales pueden operacionalizar comunicaciones y formularios, pero no reducir las garantías legales.</w:t>
      </w:r>
    </w:p>
    <w:p>
      <w:pPr>
        <w:pStyle w:val="Heading1"/>
      </w:pPr>
      <w:r>
        <w:t>2. Capacidad y consentimiento son específicos</w:t>
      </w:r>
    </w:p>
    <w:p>
      <w:r>
        <w:t>La capacidad se presume. Es clínica, funcional, relativa a una decisión y a un momento; puede fluctuar y mejorar al corregir delirium, intoxicación, hipoxia, dolor, sedación, ansiedad extrema o barreras de comunicación. No es una cualidad global que se pierda por diagnóstico, discapacidad o desacuerdo con el médico.</w:t>
      </w:r>
    </w:p>
    <w:p>
      <w:r>
        <w:t>Primero defina la decisión: aceptar hospitalización, un fármaco, TEC o compartir información son preguntas distintas. Explique naturaleza, propósito, beneficios, riesgos, alternativas y consecuencias de rechazar, usando lenguaje claro, intérprete, lectura fácil, repetición o una persona de apoyo. Evalúe si la persona puede expresar una elección, comprender la información relevante, apreciar cómo se aplica a su situación y comparar opciones de acuerdo con sus valores. Documente ejemplos, apoyos utilizados y fecha de reevaluación; no escriba sólo “sin juicio”.</w:t>
      </w:r>
    </w:p>
    <w:p>
      <w:r>
        <w:t>El DS 9/2024 establece que, si existen dudas sobre la capacidad para consentir de una persona susceptible de hospitalización psiquiátrica, el médico tratante debe solicitar opinión al Comité de Ética Asistencial. Esto no autoriza demorar medidas indispensables frente a una emergencia inmediata, pero obliga a activar la deliberación correspondiente.</w:t>
      </w:r>
    </w:p>
    <w:p>
      <w:r>
        <w:t>Consentir requiere información, voluntariedad y capacidad. Un rechazo competente debe respetarse aunque al equipo le parezca imprudente; explore razones, corrija malentendidos y ofrezca alternativas. La excepción de emergencia contemplada por la Ley 20.584 es acotada: una atención inmediata e impostergable ante riesgo vital o secuela funcional grave cuando la persona no puede expresar voluntad y no es posible obtener el consentimiento pertinente. Justifica esa prestación urgente, no una autorización general para el resto de la hospitalización.</w:t>
      </w:r>
    </w:p>
    <w:p>
      <w:pPr>
        <w:pStyle w:val="Heading1"/>
      </w:pPr>
      <w:r>
        <w:t>3. Confidencialidad, familia y ficha clínica</w:t>
      </w:r>
    </w:p>
    <w:p>
      <w:r>
        <w:t>La familia puede aportar información valiosa sin adquirir por ello acceso irrestricto a la ficha. Pregunte a la persona qué desea compartir, con quién y por qué canal. Una persona de apoyo facilita comprensión y expresión de preferencias, pero no sustituye automáticamente la voluntad. Si una comunicación sin consentimiento es jurídicamente necesaria para protección o para el procedimiento de hospitalización, limite su contenido a lo pertinente y registre fundamento, destinatario y alcance.</w:t>
      </w:r>
    </w:p>
    <w:p>
      <w:r>
        <w:t>La ficha debe distinguir hechos observados, relato del paciente, antecedentes proporcionados por terceros e inferencias clínicas. Evite copiar etiquetas como “peligroso” o “incapaz” sin conducta, temporalidad y razonamiento. Tampoco prometa secreto absoluto: explique desde el comienzo que existen límites ante riesgo grave, vulneraciones y deberes legales. El padre de Matías puede informar; no puede exigir conocer toda la ficha ni autorizar automáticamente cualquier intervención.</w:t>
      </w:r>
    </w:p>
    <w:p>
      <w:pPr>
        <w:pStyle w:val="Heading1"/>
      </w:pPr>
      <w:r>
        <w:t>4. Umbral y seis requisitos de hospitalización involuntaria</w:t>
      </w:r>
    </w:p>
    <w:p>
      <w:pPr>
        <w:keepNext/>
      </w:pPr>
      <w:r>
        <w:t xml:space="preserve">La hospitalización involuntaria sólo procede de manera excepcional cuando el manejo ambulatorio no es posible y existe riesgo </w:t>
      </w:r>
      <w:r>
        <w:rPr>
          <w:b/>
        </w:rPr>
        <w:t>real, cierto e inminente</w:t>
      </w:r>
      <w:r>
        <w:t xml:space="preserve"> para la vida o integridad física de la persona o de terceros, derivado de una enfermedad mental diagnosticada o probable. Además, el artículo 40 del DS 9/2024 exige que concurran acumulativamente:</w:t>
      </w:r>
    </w:p>
    <w:p>
      <w:pPr>
        <w:spacing w:after="60" w:line="288" w:lineRule="auto"/>
        <w:ind w:left="432" w:hanging="216"/>
      </w:pPr>
      <w:r>
        <w:t>1. Prescripción suscrita por dos profesionales de disciplinas diferentes, uno de ellos médico cirujano y, preferentemente, psiquiatra.</w:t>
      </w:r>
    </w:p>
    <w:p>
      <w:pPr>
        <w:spacing w:after="60" w:line="288" w:lineRule="auto"/>
        <w:ind w:left="432" w:hanging="216"/>
      </w:pPr>
      <w:r>
        <w:t>2. Ausencia de una alternativa menos restrictiva y más eficaz.</w:t>
      </w:r>
    </w:p>
    <w:p>
      <w:pPr>
        <w:spacing w:after="60" w:line="288" w:lineRule="auto"/>
        <w:ind w:left="432" w:hanging="216"/>
      </w:pPr>
      <w:r>
        <w:t>3. Informe de las acciones de salud realizadas previamente, si las hubo.</w:t>
      </w:r>
    </w:p>
    <w:p>
      <w:pPr>
        <w:spacing w:after="60" w:line="288" w:lineRule="auto"/>
        <w:ind w:left="432" w:hanging="216"/>
      </w:pPr>
      <w:r>
        <w:t>4. Finalidad exclusivamente terapéutica.</w:t>
      </w:r>
    </w:p>
    <w:p>
      <w:pPr>
        <w:spacing w:after="60" w:line="288" w:lineRule="auto"/>
        <w:ind w:left="432" w:hanging="216"/>
      </w:pPr>
      <w:r>
        <w:t>5. Consignación expresa del plazo de hospitalización y del tratamiento a seguir.</w:t>
      </w:r>
    </w:p>
    <w:p>
      <w:pPr>
        <w:spacing w:after="60" w:line="288" w:lineRule="auto"/>
        <w:ind w:left="432" w:hanging="216"/>
      </w:pPr>
      <w:r>
        <w:t>6. Información a la autoridad sanitaria y a un pariente o representante de la persona.</w:t>
      </w:r>
    </w:p>
    <w:p>
      <w:r>
        <w:t>No basta una posibilidad remota de daño ni la necesidad social de supervisión. Registre conducta concreta, proximidad temporal, daño posible, relación con el cuadro mental, capacidad, apoyos disponibles, alternativas intentadas y razón por la que fallan. Si los requisitos dejan de cumplirse, corresponde alta o continuación voluntaria; no se exige remisión sintomática completa.</w:t>
      </w:r>
    </w:p>
    <w:p>
      <w:pPr>
        <w:pStyle w:val="Heading1"/>
      </w:pPr>
      <w:r>
        <w:t>5. Modalidades y reloj legal</w:t>
      </w:r>
    </w:p>
    <w:p>
      <w:r>
        <w:t xml:space="preserve">La </w:t>
      </w:r>
      <w:r>
        <w:rPr>
          <w:b/>
        </w:rPr>
        <w:t>hospitalización de urgencia</w:t>
      </w:r>
      <w:r>
        <w:t xml:space="preserve"> es indicada por un médico ante riesgo inmediato cuando no es posible obtener consentimiento ni completar previamente la vía administrativa. La </w:t>
      </w:r>
      <w:r>
        <w:rPr>
          <w:b/>
        </w:rPr>
        <w:t>administrativa</w:t>
      </w:r>
      <w:r>
        <w:t xml:space="preserve"> es determinada por la autoridad sanitaria. La </w:t>
      </w:r>
      <w:r>
        <w:rPr>
          <w:b/>
        </w:rPr>
        <w:t>judicial</w:t>
      </w:r>
      <w:r>
        <w:t xml:space="preserve"> se origina en una orden de tribunal, pero el establecimiento igualmente debe verificar condiciones clínicas y cumplir comunicaciones.</w:t>
      </w:r>
    </w:p>
    <w:p>
      <w:r>
        <w:t xml:space="preserve">En las vías de urgencia y administrativa, el médico debe informar a la autoridad sanitaria inmediatamente y, en todo caso, dentro de un máximo de </w:t>
      </w:r>
      <w:r>
        <w:rPr>
          <w:b/>
        </w:rPr>
        <w:t>24 horas desde el inicio de la hospitalización</w:t>
      </w:r>
      <w:r>
        <w:t xml:space="preserve">. La autoridad sanitaria debe emitir su resolución sobre el cumplimiento de requisitos dentro de </w:t>
      </w:r>
      <w:r>
        <w:rPr>
          <w:b/>
        </w:rPr>
        <w:t>72 horas</w:t>
      </w:r>
      <w:r>
        <w:t>. Antes de cumplirse 72 horas, un médico y un segundo profesional clínico deben reevaluar al paciente. Si se requiere continuar más allá de ese hito, la autoridad sanitaria remite los antecedentes al Tribunal de Familia para control de legalidad.</w:t>
      </w:r>
    </w:p>
    <w:p>
      <w:r>
        <w:t xml:space="preserve">El tribunal debe pronunciarse dentro de </w:t>
      </w:r>
      <w:r>
        <w:rPr>
          <w:b/>
        </w:rPr>
        <w:t>tres días hábiles</w:t>
      </w:r>
      <w:r>
        <w:t xml:space="preserve"> desde la solicitud; si pide informes complementarios, éstos deben remitirse dentro de </w:t>
      </w:r>
      <w:r>
        <w:rPr>
          <w:b/>
        </w:rPr>
        <w:t>cinco días hábiles</w:t>
      </w:r>
      <w:r>
        <w:t xml:space="preserve">. En una hospitalización de origen judicial, el establecimiento envía informe de cumplimiento a la autoridad sanitaria y al tribunal que la ordenó dentro de </w:t>
      </w:r>
      <w:r>
        <w:rPr>
          <w:b/>
        </w:rPr>
        <w:t>48 horas desde el ingreso</w:t>
      </w:r>
      <w:r>
        <w:t>.</w:t>
      </w:r>
    </w:p>
    <w:p>
      <w:r>
        <w:t xml:space="preserve">Durante la hospitalización se exige revisión clínica al menos semanal. Transcurridos </w:t>
      </w:r>
      <w:r>
        <w:rPr>
          <w:b/>
        </w:rPr>
        <w:t>30 días desde la última revisión judicial</w:t>
      </w:r>
      <w:r>
        <w:t xml:space="preserve">, deben actualizarse los antecedentes si se pretende continuar. Cada prórroga judicial no puede exceder </w:t>
      </w:r>
      <w:r>
        <w:rPr>
          <w:b/>
        </w:rPr>
        <w:t>30 días corridos</w:t>
      </w:r>
      <w:r>
        <w:t xml:space="preserve"> y sólo procede mientras persistan las condiciones legales. Estos plazos no son “tiempos de espera”: el aviso comienza desde el ingreso y la atención clínica es continua.</w:t>
      </w:r>
    </w:p>
    <w:p>
      <w:pPr>
        <w:pStyle w:val="Heading1"/>
      </w:pPr>
      <w:r>
        <w:t>6. Hospitalizar no equivale a tratar sin consentimiento</w:t>
      </w:r>
    </w:p>
    <w:p>
      <w:r>
        <w:t>El ingreso involuntario autoriza una medida de cuidado y control bajo requisitos específicos; no convierte todos los tratamientos en involuntarios. Para cada intervención deben evaluarse capacidad, información, voluntad, urgencia, preferencias previas y alternativas. El plan terapéutico debe promover participación y usar la opción eficaz menos restrictiva. En Matías, la preferencia documentada sobre haloperidol debe incorporarse, aunque una urgencia concreta pudiera justificar otra intervención bajo reglas propias.</w:t>
      </w:r>
    </w:p>
    <w:p>
      <w:r>
        <w:t>La contención emocional, reducción de estímulos, presencia de personas significativas y desescalada preceden a medidas restrictivas. Contención farmacológica, física o mecánica y observación continua individual se reservan para situaciones en que alternativas menos restrictivas han fracasado o son impracticables. Deben tener finalidad terapéutica, proporcionalidad, duración mínima, supervisión y registro de indicación, inicio, monitorización, eventos adversos y término. Nunca se prescriben anticipadamente como castigo, comodidad o rutina.</w:t>
      </w:r>
    </w:p>
    <w:p>
      <w:r>
        <w:t>El traslado también requiere planificación segura, personal competente y el menor grado de coerción compatible con el riesgo. La involuntariedad no elimina analgesia, alimentación, comunicación, higiene ni atención de enfermedades médicas.</w:t>
      </w:r>
    </w:p>
    <w:p>
      <w:pPr>
        <w:pStyle w:val="Heading1"/>
      </w:pPr>
      <w:r>
        <w:t>7. Niños, adolescentes y preferencias anticipadas</w:t>
      </w:r>
    </w:p>
    <w:p>
      <w:r>
        <w:t>En menores de edad se debe adaptar la información, escuchar su opinión, considerar autonomía progresiva e interés superior y minimizar daño por separación. La representación adulta no borra la voz del niño. Ante conflicto serio entre necesidad clínica y decisión del representante, active Comité de Ética Asistencial o Tribunal de Familia según urgencia y norma aplicable.</w:t>
      </w:r>
    </w:p>
    <w:p>
      <w:r>
        <w:t>Las declaraciones anticipadas y la designación de personas de apoyo permiten conocer valores, intervenciones preferidas o rechazadas y estrategias útiles durante una crisis futura. No son un poder ilimitado otorgado a la familia. Incluso cuando una preferencia no pueda cumplirse por una emergencia concreta, debe ser considerada y documentarse por qué se apartó de ella.</w:t>
      </w:r>
    </w:p>
    <w:p>
      <w:pPr>
        <w:pStyle w:val="Heading1"/>
      </w:pPr>
      <w:r>
        <w:t>Errores frecuentes</w:t>
      </w:r>
    </w:p>
    <w:p>
      <w:pPr>
        <w:pStyle w:val="ListBullet"/>
      </w:pPr>
      <w:r>
        <w:t>Citar como vigente el DS 570/1998 o llamar al reglamento “DS 9/2025”.</w:t>
      </w:r>
    </w:p>
    <w:p>
      <w:pPr>
        <w:pStyle w:val="ListBullet"/>
      </w:pPr>
      <w:r>
        <w:t>Declarar incapacidad por diagnóstico, apariencia o desacuerdo.</w:t>
      </w:r>
    </w:p>
    <w:p>
      <w:pPr>
        <w:pStyle w:val="ListBullet"/>
      </w:pPr>
      <w:r>
        <w:t>Pedir a un familiar que autorice todo por un adulto sin fundamento legal.</w:t>
      </w:r>
    </w:p>
    <w:p>
      <w:pPr>
        <w:pStyle w:val="ListBullet"/>
      </w:pPr>
      <w:r>
        <w:t>Hospitalizar por riesgo vago, conflicto social o discapacidad sin los seis requisitos acumulativos.</w:t>
      </w:r>
    </w:p>
    <w:p>
      <w:pPr>
        <w:pStyle w:val="ListBullet"/>
      </w:pPr>
      <w:r>
        <w:t>Creer que hay 72 horas antes de avisar a la autoridad.</w:t>
      </w:r>
    </w:p>
    <w:p>
      <w:pPr>
        <w:pStyle w:val="ListBullet"/>
      </w:pPr>
      <w:r>
        <w:t>Mantener la hospitalización hasta “curación completa” o asumir que autoriza cualquier tratamiento.</w:t>
      </w:r>
    </w:p>
    <w:p>
      <w:pPr>
        <w:pStyle w:val="ListBullet"/>
      </w:pPr>
      <w:r>
        <w:t>Utilizar contención como orden anticipada, sanción o conveniencia.</w:t>
      </w:r>
    </w:p>
    <w:p>
      <w:pPr>
        <w:pStyle w:val="Heading1"/>
      </w:pPr>
      <w:r>
        <w:t>Para recordar</w:t>
      </w:r>
    </w:p>
    <w:p>
      <w:pPr>
        <w:spacing w:after="60" w:line="288" w:lineRule="auto"/>
        <w:ind w:left="432" w:hanging="216"/>
        <w:shd w:fill="EAF6F3"/>
        <w:keepNext/>
        <w:keepLines/>
        <w:pBdr>
          <w:left w:val="single" w:sz="8" w:space="8" w:color="2A8C82"/>
        </w:pBdr>
      </w:pPr>
      <w:r>
        <w:t>1. La capacidad se presume y se evalúa para una decisión concreta, usando apoyos.</w:t>
      </w:r>
    </w:p>
    <w:p>
      <w:pPr>
        <w:spacing w:after="60" w:line="288" w:lineRule="auto"/>
        <w:ind w:left="432" w:hanging="216"/>
        <w:shd w:fill="EAF6F3"/>
        <w:keepNext/>
        <w:keepLines/>
        <w:pBdr>
          <w:left w:val="single" w:sz="8" w:space="8" w:color="2A8C82"/>
        </w:pBdr>
      </w:pPr>
      <w:r>
        <w:t>2. Rechazar una recomendación no demuestra incapacidad.</w:t>
      </w:r>
    </w:p>
    <w:p>
      <w:pPr>
        <w:spacing w:after="60" w:line="288" w:lineRule="auto"/>
        <w:ind w:left="432" w:hanging="216"/>
        <w:shd w:fill="EAF6F3"/>
        <w:keepNext/>
        <w:keepLines/>
        <w:pBdr>
          <w:left w:val="single" w:sz="8" w:space="8" w:color="2A8C82"/>
        </w:pBdr>
      </w:pPr>
      <w:r>
        <w:t>3. La hospitalización involuntaria exige riesgo real, cierto e inminente y seis requisitos acumulativos.</w:t>
      </w:r>
    </w:p>
    <w:p>
      <w:pPr>
        <w:spacing w:after="60" w:line="288" w:lineRule="auto"/>
        <w:ind w:left="432" w:hanging="216"/>
        <w:shd w:fill="EAF6F3"/>
        <w:keepNext/>
        <w:keepLines/>
        <w:pBdr>
          <w:left w:val="single" w:sz="8" w:space="8" w:color="2A8C82"/>
        </w:pBdr>
      </w:pPr>
      <w:r>
        <w:t>4. El reloj legal comienza al ingreso: aviso máximo 24 horas, hitos a 48 y 72 horas y revisiones posteriores.</w:t>
      </w:r>
    </w:p>
    <w:p>
      <w:pPr>
        <w:spacing w:after="60" w:line="288" w:lineRule="auto"/>
        <w:ind w:left="432" w:hanging="216"/>
        <w:shd w:fill="EAF6F3"/>
        <w:keepLines/>
        <w:pBdr>
          <w:left w:val="single" w:sz="8" w:space="8" w:color="2A8C82"/>
        </w:pBdr>
      </w:pPr>
      <w:r>
        <w:t>5. Hospitalizar y autorizar cada tratamiento son decisiones diferentes.</w:t>
      </w:r>
    </w:p>
    <w:p>
      <w:pPr>
        <w:pStyle w:val="Heading1"/>
      </w:pPr>
      <w:r>
        <w:t>Bibliografía esencial</w:t>
      </w:r>
    </w:p>
    <w:p>
      <w:pPr>
        <w:pStyle w:val="Bibliography"/>
      </w:pPr>
      <w:r>
        <w:t xml:space="preserve">• Chile. Ley N.º 20.584, que regula los derechos y deberes que tienen las personas en relación con acciones vinculadas a su atención en salud. 2012. </w:t>
      </w:r>
      <w:hyperlink r:id="rId140">
        <w:r>
          <w:rPr>
            <w:color w:val="246B8E"/>
            <w:u w:val="single"/>
          </w:rPr>
          <w:t>Texto oficial</w:t>
        </w:r>
      </w:hyperlink>
      <w:r>
        <w:t>.</w:t>
      </w:r>
    </w:p>
    <w:p>
      <w:pPr>
        <w:pStyle w:val="Bibliography"/>
      </w:pPr>
      <w:r>
        <w:t xml:space="preserve">• Chile. Ley N.º 21.331, del reconocimiento y protección de los derechos de las personas en la atención de salud mental. 2021. </w:t>
      </w:r>
      <w:hyperlink r:id="rId12">
        <w:r>
          <w:rPr>
            <w:color w:val="246B8E"/>
            <w:u w:val="single"/>
          </w:rPr>
          <w:t>Texto oficial</w:t>
        </w:r>
      </w:hyperlink>
      <w:r>
        <w:t>.</w:t>
      </w:r>
    </w:p>
    <w:p>
      <w:pPr>
        <w:pStyle w:val="Bibliography"/>
      </w:pPr>
      <w:r>
        <w:t xml:space="preserve">• Ministerio de Salud de Chile. Decreto Supremo N.º 9 de 2024, Reglamento sobre hospitalización psiquiátrica. Publicado el 3 de octubre de 2025; vigente desde el 2 de diciembre de 2025. </w:t>
      </w:r>
      <w:hyperlink r:id="rId141">
        <w:r>
          <w:rPr>
            <w:color w:val="246B8E"/>
            <w:u w:val="single"/>
          </w:rPr>
          <w:t>Texto oficial</w:t>
        </w:r>
      </w:hyperlink>
      <w:r>
        <w:t>.</w:t>
      </w:r>
    </w:p>
    <w:p>
      <w:pPr>
        <w:pStyle w:val="Bibliography"/>
      </w:pPr>
      <w:r>
        <w:t xml:space="preserve">• World Health Organization. </w:t>
      </w:r>
      <w:r>
        <w:rPr>
          <w:i/>
        </w:rPr>
        <w:t>Guidance on community mental health services: promoting person-centred and rights-based approaches</w:t>
      </w:r>
      <w:r>
        <w:t>. Geneva: WHO; 2021.</w:t>
      </w:r>
    </w:p>
    <w:p>
      <w:pPr>
        <w:pStyle w:val="Bibliography"/>
      </w:pPr>
      <w:r>
        <w:t xml:space="preserve">• United Nations. </w:t>
      </w:r>
      <w:r>
        <w:rPr>
          <w:i/>
        </w:rPr>
        <w:t>Convention on the Rights of Persons with Disabilities</w:t>
      </w:r>
      <w:r>
        <w:t xml:space="preserve">. New York: United Nations; 2006. </w:t>
      </w:r>
      <w:hyperlink r:id="rId142">
        <w:r>
          <w:rPr>
            <w:color w:val="246B8E"/>
            <w:u w:val="single"/>
          </w:rPr>
          <w:t>Convención</w:t>
        </w:r>
      </w:hyperlink>
      <w:r>
        <w:t>.</w:t>
      </w:r>
    </w:p>
    <w:p>
      <w:r>
        <w:br w:type="page"/>
      </w:r>
    </w:p>
    <w:p>
      <w:pPr>
        <w:spacing w:after="480"/>
      </w:pPr>
      <w:r>
        <w:rPr>
          <w:rFonts w:ascii="Calibri" w:hAnsi="Calibri"/>
          <w:b/>
          <w:color w:val="2A8C82"/>
          <w:sz w:val="20"/>
        </w:rPr>
        <w:t>CAPÍTULO 49 · MATERIAL PARA ESTUDIANTES</w:t>
      </w:r>
    </w:p>
    <w:tbl>
      <w:tblPr>
        <w:tblW w:type="auto" w:w="0"/>
        <w:jc w:val="left"/>
        <w:tblLayout w:type="fixed"/>
        <w:tblLook w:firstColumn="1" w:firstRow="1" w:lastColumn="0" w:lastRow="0" w:noHBand="0" w:noVBand="1" w:val="04A0"/>
      </w:tblPr>
      <w:tblGrid>
        <w:gridCol w:w="9648"/>
      </w:tblGrid>
      <w:tr>
        <w:trPr>
          <w:tblHeader w:val="true"/>
        </w:trPr>
        <w:tc>
          <w:tcPr>
            <w:tcW w:type="dxa" w:w="9072"/>
            <w:shd w:fill="173A5E"/>
            <w:tcMar>
              <w:top w:w="120" w:type="dxa"/>
              <w:start w:w="220" w:type="dxa"/>
              <w:bottom w:w="120" w:type="dxa"/>
              <w:end w:w="220" w:type="dxa"/>
            </w:tcMar>
          </w:tcPr>
          <w:p>
            <w:pPr>
              <w:spacing w:after="0"/>
            </w:pPr>
            <w:r>
              <w:rPr>
                <w:rFonts w:ascii="Calibri" w:hAnsi="Calibri"/>
                <w:b/>
                <w:color w:val="FFFFFF"/>
                <w:sz w:val="19"/>
              </w:rPr>
              <w:t>MÓDULO III · TEMAS ESENCIALES E INTEGRACIÓN EN CHILE</w:t>
            </w:r>
          </w:p>
        </w:tc>
      </w:tr>
    </w:tbl>
    <w:p>
      <w:pPr>
        <w:pStyle w:val="Title"/>
        <w:spacing w:before="520" w:after="360"/>
        <w:outlineLvl w:val="0"/>
      </w:pPr>
      <w:bookmarkStart w:id="1049" w:name="chapter_49"/>
      <w:r>
        <w:t>Violencia, abuso, psiquiatría forense y documentación médico-laboral</w:t>
      </w:r>
      <w:bookmarkEnd w:id="1049"/>
    </w:p>
    <w:p>
      <w:pPr>
        <w:spacing w:after="80"/>
      </w:pPr>
      <w:r>
        <w:rPr>
          <w:rFonts w:ascii="Calibri" w:hAnsi="Calibri"/>
          <w:b/>
          <w:color w:val="246B8E"/>
          <w:sz w:val="26"/>
        </w:rPr>
        <w:t>Programa de Psiquiatría para internos de Medicina</w:t>
      </w:r>
    </w:p>
    <w:p>
      <w:r>
        <w:rPr>
          <w:rFonts w:ascii="Calibri" w:hAnsi="Calibri"/>
          <w:color w:val="6B7280"/>
          <w:sz w:val="22"/>
        </w:rPr>
        <w:t>Lectura complementaria · Chile · Versión final para revisión humana · 2026</w:t>
      </w:r>
    </w:p>
    <w:p/>
    <w:p/>
    <w:p/>
    <w:p/>
    <w:p/>
    <w:tbl>
      <w:tblPr>
        <w:tblW w:type="auto" w:w="0"/>
        <w:jc w:val="left"/>
        <w:tblLayout w:type="fixed"/>
        <w:tblLook w:firstColumn="1" w:firstRow="1" w:lastColumn="0" w:lastRow="0" w:noHBand="0" w:noVBand="1" w:val="04A0"/>
      </w:tblPr>
      <w:tblGrid>
        <w:gridCol w:w="9648"/>
      </w:tblGrid>
      <w:tr>
        <w:trPr>
          <w:tblHeader w:val="true"/>
        </w:trPr>
        <w:tc>
          <w:tcPr>
            <w:tcW w:type="dxa" w:w="9648"/>
            <w:shd w:fill="F3F5F6"/>
            <w:tcBorders>
              <w:start w:val="single" w:sz="18" w:color="2A8C82"/>
            </w:tcBorders>
            <w:tcMar>
              <w:top w:w="160" w:type="dxa"/>
              <w:start w:w="220" w:type="dxa"/>
              <w:bottom w:w="160" w:type="dxa"/>
              <w:end w:w="220" w:type="dxa"/>
            </w:tcMar>
          </w:tcPr>
          <w:p>
            <w:pPr>
              <w:spacing w:after="0"/>
            </w:pPr>
            <w:r>
              <w:rPr>
                <w:rFonts w:ascii="Calibri" w:hAnsi="Calibri"/>
                <w:i/>
                <w:color w:val="6B7280"/>
                <w:sz w:val="18"/>
              </w:rPr>
              <w:t>Versión docente final para revisión humana. Material propuesto y contextualizado a Chile; no corresponde a un programa oficial de la Pontificia Universidad Católica de Chile ni sustituye protocolos locales, supervisión clínica o evaluación especializada. Fuentes revisadas al 15 de agosto de 2026.</w:t>
            </w:r>
          </w:p>
        </w:tc>
      </w:tr>
    </w:tbl>
    <w:p>
      <w:r>
        <w:br w:type="page"/>
      </w:r>
    </w:p>
    <w:tbl>
      <w:tblPr>
        <w:tblW w:type="auto" w:w="0"/>
        <w:jc w:val="center"/>
        <w:tblLayout w:type="autofit"/>
        <w:tblLook w:firstColumn="1" w:firstRow="1" w:lastColumn="0" w:lastRow="0" w:noHBand="0" w:noVBand="1" w:val="04A0"/>
      </w:tblPr>
      <w:tblGrid>
        <w:gridCol w:w="9648"/>
      </w:tblGrid>
      <w:tr>
        <w:trPr>
          <w:tblHeader w:val="true"/>
        </w:trPr>
        <w:tc>
          <w:tcPr>
            <w:tcW w:type="dxa" w:w="9648"/>
            <w:vAlign w:val="center"/>
            <w:shd w:fill="EAF3F7"/>
            <w:tcBorders>
              <w:start w:val="single" w:sz="14" w:color="2A8C82"/>
            </w:tcBorders>
            <w:tcMar>
              <w:top w:w="130" w:type="dxa"/>
              <w:start w:w="190" w:type="dxa"/>
              <w:bottom w:w="130" w:type="dxa"/>
              <w:end w:w="190" w:type="dxa"/>
            </w:tcMar>
          </w:tcPr>
          <w:p>
            <w:pPr>
              <w:spacing w:after="0"/>
            </w:pPr>
            <w:r>
              <w:rPr>
                <w:b/>
                <w:color w:val="173A5E"/>
              </w:rPr>
              <w:t xml:space="preserve">PREGUNTA CLÍNICA  </w:t>
            </w:r>
            <w:r>
              <w:t>¿Cómo proteger, documentar y derivar sin transformar la atención en interrogatorio policial, peritaje improvisado o certificación sin fundamento?</w:t>
            </w:r>
          </w:p>
        </w:tc>
      </w:tr>
    </w:tbl>
    <w:p>
      <w:pPr>
        <w:spacing w:after="0"/>
      </w:pPr>
    </w:p>
    <w:tbl>
      <w:tblPr>
        <w:tblW w:type="auto" w:w="0"/>
        <w:jc w:val="center"/>
        <w:tblLayout w:type="autofit"/>
        <w:tblLook w:firstColumn="1" w:firstRow="1" w:lastColumn="0" w:lastRow="0" w:noHBand="0" w:noVBand="1" w:val="04A0"/>
      </w:tblPr>
      <w:tblGrid>
        <w:gridCol w:w="9648"/>
      </w:tblGrid>
      <w:tr>
        <w:trPr>
          <w:tblHeader w:val="true"/>
        </w:trPr>
        <w:tc>
          <w:tcPr>
            <w:tcW w:type="dxa" w:w="9648"/>
            <w:vAlign w:val="center"/>
            <w:shd w:fill="EAF6F3"/>
            <w:tcBorders>
              <w:start w:val="single" w:sz="14" w:color="2A8C82"/>
            </w:tcBorders>
            <w:tcMar>
              <w:top w:w="130" w:type="dxa"/>
              <w:start w:w="190" w:type="dxa"/>
              <w:bottom w:w="130" w:type="dxa"/>
              <w:end w:w="190" w:type="dxa"/>
            </w:tcMar>
          </w:tcPr>
          <w:p>
            <w:pPr>
              <w:spacing w:after="0"/>
            </w:pPr>
            <w:r>
              <w:rPr>
                <w:b/>
                <w:color w:val="173A5E"/>
              </w:rPr>
              <w:t xml:space="preserve">IDEA CENTRAL  </w:t>
            </w:r>
            <w:r>
              <w:t>el rol clínico es atender, evaluar seguridad y registrar con precisión; establecer judicialmente lo ocurrido o responder una pregunta pericial son tareas diferentes.</w:t>
            </w:r>
          </w:p>
        </w:tc>
      </w:tr>
    </w:tbl>
    <w:p>
      <w:pPr>
        <w:spacing w:after="0"/>
      </w:pPr>
    </w:p>
    <w:p>
      <w:pPr>
        <w:pStyle w:val="Heading1"/>
      </w:pPr>
      <w:r>
        <w:t>Por qué importa</w:t>
      </w:r>
    </w:p>
    <w:p>
      <w:r>
        <w:t>La violencia puede presentarse como crisis de pánico, depresión, insomnio, dolor, consumo o lesiones aparentemente menores. No preguntar en privado perpetúa el ocultamiento; presionar por detalles puede retraumatizar y contaminar un relato que después deberá recoger personal especializado. A la vez, una ficha imprecisa o una licencia basada sólo en un diagnóstico expone al paciente y al profesional.</w:t>
      </w:r>
    </w:p>
    <w:p>
      <w:r>
        <w:t>El médico general necesita sostener cinco tareas separadas: atención médica, seguridad, protección, documentación y eventual coordinación judicial o laboral. Debe conocer GES 86 para agresión sexual aguda, los deberes legales específicos de denuncia y las reglas reforzadas por la Ley 21.746 sobre licencias médicas.</w:t>
      </w:r>
    </w:p>
    <w:p>
      <w:pPr>
        <w:pStyle w:val="Heading1"/>
      </w:pPr>
      <w:r>
        <w:t>Objetivos de aprendizaje</w:t>
      </w:r>
    </w:p>
    <w:p>
      <w:pPr>
        <w:keepNext/>
      </w:pPr>
      <w:r>
        <w:t>Al terminar este capítulo, el lector podrá:</w:t>
      </w:r>
    </w:p>
    <w:p>
      <w:pPr>
        <w:spacing w:after="60" w:line="288" w:lineRule="auto"/>
        <w:ind w:left="432" w:hanging="216"/>
      </w:pPr>
      <w:r>
        <w:t>1. Preguntar por violencia de forma privada, clara y no culpabilizante.</w:t>
      </w:r>
    </w:p>
    <w:p>
      <w:pPr>
        <w:spacing w:after="60" w:line="288" w:lineRule="auto"/>
        <w:ind w:left="432" w:hanging="216"/>
      </w:pPr>
      <w:r>
        <w:t>2. Reconocer riesgo inmediato, estrangulación y necesidades de protección de terceros vulnerables.</w:t>
      </w:r>
    </w:p>
    <w:p>
      <w:pPr>
        <w:spacing w:after="60" w:line="288" w:lineRule="auto"/>
        <w:ind w:left="432" w:hanging="216"/>
      </w:pPr>
      <w:r>
        <w:t>3. Entregar una primera respuesta informada por trauma y activar correctamente GES 86.</w:t>
      </w:r>
    </w:p>
    <w:p>
      <w:pPr>
        <w:spacing w:after="60" w:line="288" w:lineRule="auto"/>
        <w:ind w:left="432" w:hanging="216"/>
      </w:pPr>
      <w:r>
        <w:t>4. Documentar fuente, relato, hallazgos, inferencias y medidas sin afirmar hechos no demostrados.</w:t>
      </w:r>
    </w:p>
    <w:p>
      <w:pPr>
        <w:spacing w:after="60" w:line="288" w:lineRule="auto"/>
        <w:ind w:left="432" w:hanging="216"/>
      </w:pPr>
      <w:r>
        <w:t>5. Distinguir ficha, certificado, informe tratante, peritaje y licencia médica.</w:t>
      </w:r>
    </w:p>
    <w:p>
      <w:pPr>
        <w:spacing w:after="60" w:line="288" w:lineRule="auto"/>
        <w:ind w:left="432" w:hanging="216"/>
      </w:pPr>
      <w:r>
        <w:t>6. Delimitar rol terapéutico y rol pericial.</w:t>
      </w:r>
    </w:p>
    <w:p>
      <w:pPr>
        <w:spacing w:after="60" w:line="288" w:lineRule="auto"/>
        <w:ind w:left="432" w:hanging="216"/>
      </w:pPr>
      <w:r>
        <w:t>7. Fundamentar incapacidad laboral temporal y aplicar principios de la Ley 21.746.</w:t>
      </w:r>
    </w:p>
    <w:p>
      <w:pPr>
        <w:pStyle w:val="Heading1"/>
      </w:pPr>
      <w:r>
        <w:t>Caso clínico</w:t>
      </w:r>
    </w:p>
    <w:p>
      <w:pPr>
        <w:shd w:fill="EAF3F7"/>
        <w:keepLines/>
        <w:pBdr>
          <w:left w:val="single" w:sz="8" w:space="8" w:color="246B8E"/>
        </w:pBdr>
        <w:ind w:left="173" w:right="86"/>
      </w:pPr>
      <w:r>
        <w:t>Marcela, de 38 años, consulta por una “crisis de angustia”. En entrevista privada relata control económico, amenazas, estrangulación reciente y una agresión sexual ocurrida hace 36 horas. Sus dos hijos están en casa. Pide que “nadie se entere” y solicita 30 días de licencia. Más tarde, el empleador llama exigiendo el diagnóstico. Antes de discutir un certificado, el equipo debe atender lesiones potencialmente ocultas, seguridad, agresión sexual aguda, riesgo para los niños y límites de confidencialidad.</w:t>
      </w:r>
    </w:p>
    <w:p>
      <w:pPr>
        <w:pStyle w:val="Heading1"/>
      </w:pPr>
      <w:r>
        <w:t>1. Preguntar sin culpar ni investigar</w:t>
      </w:r>
    </w:p>
    <w:p>
      <w:r>
        <w:t>Entreviste sin pareja, familiar o posible agresor presente. Si necesita intérprete, use uno profesional, no un acompañante. Explique confidencialidad y límites antes de preguntar. Las preguntas conductuales son más claras que “¿sufre violencia?”: “¿Alguien la ha golpeado, amenazado o forzado a una actividad sexual?”, “¿controla su dinero, teléfono, medicamentos o salidas?”. Incluya violencia física, psicológica, sexual, económica, digital, acecho y coerción reproductiva.</w:t>
      </w:r>
    </w:p>
    <w:p>
      <w:r>
        <w:t>Valide: la violencia no es culpa de la persona y merece atención. Evite “¿por qué no se fue?”, confrontar al presunto agresor o exigir una historia exhaustiva. La ambivalencia puede reflejar miedo, dependencia, hijos, aislamiento o riesgo de escalamiento. La entrevista clínica obtiene lo necesario para cuidar; no reemplaza una declaración investigativa.</w:t>
      </w:r>
    </w:p>
    <w:p>
      <w:r>
        <w:t>En niños y adolescentes utilice preguntas abiertas mínimas y registre expresiones espontáneas literalmente. Repetir preguntas sugestivas puede aumentar malestar y afectar la calidad del relato. En personas mayores o con discapacidad explore dependencia para comida, higiene, movilidad, dinero y medicación, además de abandono, negligencia, explotación patrimonial y violencia sexual.</w:t>
      </w:r>
    </w:p>
    <w:p>
      <w:pPr>
        <w:pStyle w:val="Heading1"/>
      </w:pPr>
      <w:r>
        <w:t>2. Seguridad y atención médica inmediata</w:t>
      </w:r>
    </w:p>
    <w:p>
      <w:r>
        <w:t>Evalúe lesiones, embarazo, dolor, pérdida de conciencia, intoxicación, riesgo suicida u homicida y necesidad de urgencia. Pregunte por amenazas de muerte, armas, acecho, escalamiento, separación reciente, agresión durante embarazo y acceso del agresor. Identifique niños, mayores u otros dependientes expuestos, un lugar seguro, contactos confiables y posibilidades reales de salida. Un plan debe ser individualizado; una recomendación genérica de “irse hoy” puede aumentar riesgo.</w:t>
      </w:r>
    </w:p>
    <w:p>
      <w:r>
        <w:t>La estrangulación merece atención especial. Puede causar lesión de vía aérea o vascular aun con pocos signos externos. Disfonía, disfagia, disnea, edema cervical, alteración neurológica, incontinencia o pérdida de conciencia exigen evaluación médica urgente y estudios según protocolo. Una apariencia externa normal no la descarta.</w:t>
      </w:r>
    </w:p>
    <w:p>
      <w:r>
        <w:t>La atención informada por trauma devuelve control: explique cada paso, solicite permiso, permita pausas, limite repeticiones y ofrezca acompañamiento elegido cuando sea seguro. Atienda primero lo impostergable. Las decisiones sobre denuncia, alojamiento y protección requieren información comprensible y coordinación institucional, no coerción clínica.</w:t>
      </w:r>
    </w:p>
    <w:p>
      <w:pPr>
        <w:pStyle w:val="Heading1"/>
      </w:pPr>
      <w:r>
        <w:t>3. Agresión sexual aguda y GES 86</w:t>
      </w:r>
    </w:p>
    <w:p>
      <w:r>
        <w:t xml:space="preserve">GES 86 cubre a toda persona que solicita atención por una agresión sexual reciente ocurrida dentro de </w:t>
      </w:r>
      <w:r>
        <w:rPr>
          <w:b/>
        </w:rPr>
        <w:t>72 horas</w:t>
      </w:r>
      <w:r>
        <w:t xml:space="preserve">, conforme a sus criterios de garantía. La primera respuesta es </w:t>
      </w:r>
      <w:r>
        <w:rPr>
          <w:b/>
        </w:rPr>
        <w:t>inmediata desde la solicitud en una urgencia hospitalaria</w:t>
      </w:r>
      <w:r>
        <w:t xml:space="preserve"> y el seguimiento debe iniciarse dentro de </w:t>
      </w:r>
      <w:r>
        <w:rPr>
          <w:b/>
        </w:rPr>
        <w:t>35 días desde la primera respuesta</w:t>
      </w:r>
      <w:r>
        <w:t>. No se exige denuncia policial previa para recibir atención.</w:t>
      </w:r>
    </w:p>
    <w:p>
      <w:r>
        <w:t>La primera respuesta comprende evaluación y tratamiento de lesiones, apoyo emocional, evaluación de embarazo e infecciones, anticoncepción de emergencia, profilaxis para VIH e infecciones de transmisión sexual y vacunación según tiempo, riesgo y protocolo. La toma y custodia de muestras requiere personal entrenado, consentimiento aplicable y cadena de custodia. La entrevista psiquiátrica no sustituye el examen médico-legal.</w:t>
      </w:r>
    </w:p>
    <w:p>
      <w:r>
        <w:t>Si han pasado más de 72 horas, la persona sigue teniendo derecho a atención clínica, tratamiento de lesiones, salud sexual y reproductiva, apoyo psicosocial y protección; lo que cambia es el criterio temporal de GES 86, no la legitimidad de consultar. Tampoco espere trámites administrativos ante hemorragia, compromiso de conciencia, estrangulación o riesgo suicida.</w:t>
      </w:r>
    </w:p>
    <w:p>
      <w:pPr>
        <w:pStyle w:val="Heading1"/>
      </w:pPr>
      <w:r>
        <w:t>4. Protección y deberes de denuncia</w:t>
      </w:r>
    </w:p>
    <w:p>
      <w:r>
        <w:t xml:space="preserve">La promesa de secreto absoluto es inadecuada. El Código Procesal Penal chileno establece deberes de denuncia para determinadas personas por hechos conocidos en el ejercicio de sus funciones, incluidos ciertos profesionales de salud y responsables de establecimientos; el artículo 176 fija, en esos supuestos, un plazo habitual de </w:t>
      </w:r>
      <w:r>
        <w:rPr>
          <w:b/>
        </w:rPr>
        <w:t>24 horas desde que se toma conocimiento</w:t>
      </w:r>
      <w:r>
        <w:t>. La aplicación depende del hecho, del rol y de la persona afectada: no debe transformarse en la afirmación simplista de que toda confidencia de un adulto capaz sigue exactamente la misma ruta.</w:t>
      </w:r>
    </w:p>
    <w:p>
      <w:r>
        <w:t>Ante sospecha de delito, especialmente si hay niños, adolescentes u otras personas vulnerables, active inmediatamente jefatura y circuito médico-legal institucional. Determine seguridad y deberes de protección sin sustituir asesoría jurídica local. Si existe riesgo actual, la atención y las medidas protectoras no se retrasan por dudas administrativas. Informe a la persona, cuando sea seguro, qué comunicación debe realizarse y documente destinatario, hora y fundamento.</w:t>
      </w:r>
    </w:p>
    <w:p>
      <w:pPr>
        <w:pStyle w:val="Heading1"/>
      </w:pPr>
      <w:r>
        <w:t>5. Documentar sin exceder la evidencia</w:t>
      </w:r>
    </w:p>
    <w:p>
      <w:r>
        <w:t>Registre fecha, hora, lugar, personas presentes y fuente de cada antecedente. Use comillas para expresiones relevantes: “refiere que…”. Describa hallazgos físicos y mentales observables, ubicación, tamaño y características de lesiones conforme al protocolo. Fotografías y esquemas se obtienen sólo con procedimiento, consentimiento y custodia adecuados. Registre riesgo, información entregada, intervenciones aceptadas o rechazadas, plan de seguridad, derivaciones y comunicaciones.</w:t>
      </w:r>
    </w:p>
    <w:p>
      <w:r>
        <w:t>Separe cuatro niveles: relato de la persona, información de terceros, observación clínica e interpretación profesional. “La paciente refiere penetración no consentida” es distinto de “violación comprobada”; “se observan equimosis” es distinto de atribuir autoría. No escriba “miente”, “manipula” o “agresor peligroso” si la evaluación no permite esas conclusiones. Si rechaza una intervención, documente capacidad, información, motivos expresados, alternativas y plan, no sólo “se niega”.</w:t>
      </w:r>
    </w:p>
    <w:p>
      <w:r>
        <w:t xml:space="preserve">La ficha clínica es un registro longitudinal asistencial. Un </w:t>
      </w:r>
      <w:r>
        <w:rPr>
          <w:b/>
        </w:rPr>
        <w:t>certificado</w:t>
      </w:r>
      <w:r>
        <w:t xml:space="preserve"> acredita hechos clínicos acotados que el profesional puede sostener. Un </w:t>
      </w:r>
      <w:r>
        <w:rPr>
          <w:b/>
        </w:rPr>
        <w:t>informe tratante</w:t>
      </w:r>
      <w:r>
        <w:t xml:space="preserve"> resume evaluación, evolución, tratamiento y funcionamiento. Un </w:t>
      </w:r>
      <w:r>
        <w:rPr>
          <w:b/>
        </w:rPr>
        <w:t>peritaje</w:t>
      </w:r>
      <w:r>
        <w:t xml:space="preserve"> responde con independencia una pregunta jurídica y tiene límites de confidencialidad informados de antemano. Una </w:t>
      </w:r>
      <w:r>
        <w:rPr>
          <w:b/>
        </w:rPr>
        <w:t>licencia médica</w:t>
      </w:r>
      <w:r>
        <w:t xml:space="preserve"> prescribe reposo o reducción temporal de jornada y queda sujeta a autorización. Confundir estos documentos conduce a afirmaciones fuera de competencia.</w:t>
      </w:r>
    </w:p>
    <w:p>
      <w:pPr>
        <w:pStyle w:val="Heading1"/>
      </w:pPr>
      <w:r>
        <w:t>6. Rol terapéutico, peritaje y evaluación de violencia</w:t>
      </w:r>
    </w:p>
    <w:p>
      <w:r>
        <w:t>El tratante prioriza bienestar y alianza; el perito debe responder imparcialmente una cuestión legal. Siempre que produzca conflicto, evite ambos roles en la misma persona. El tratante puede describir diagnóstico, curso, adherencia, examen mental y función, pero no debe concluir automáticamente sobre imputabilidad, capacidad civil, credibilidad, autoría o causalidad jurídica.</w:t>
      </w:r>
    </w:p>
    <w:p>
      <w:r>
        <w:t>Un diagnóstico psiquiátrico no determina peligrosidad. La evaluación de violencia se expresa en factores dinámicos y estáticos, escenarios, horizonte temporal y acciones de mitigación: amenazas recientes, acceso a armas, consumo, episodios previos, síntomas, adherencia, apoyo y oportunidades. Las herramientas estructuradas pueden organizar información en contextos especializados, pero no eliminan incertidumbre ni justifican predicciones categóricas.</w:t>
      </w:r>
    </w:p>
    <w:p>
      <w:r>
        <w:t>El empleador de Marcela no tiene derecho a su psicoterapia completa ni a toda la ficha por solicitarla. Las comunicaciones laborales deben limitarse a lo autorizado y necesario. Diagnóstico, detalles de violencia y antecedentes sexuales son datos sensibles.</w:t>
      </w:r>
    </w:p>
    <w:p>
      <w:pPr>
        <w:pStyle w:val="Heading1"/>
      </w:pPr>
      <w:r>
        <w:t>7. Licencia médica psiquiátrica y Ley 21.746</w:t>
      </w:r>
    </w:p>
    <w:p>
      <w:r>
        <w:t xml:space="preserve">La licencia no se justifica por el nombre del diagnóstico, sino por una enfermedad clínicamente fundada que produce </w:t>
      </w:r>
      <w:r>
        <w:rPr>
          <w:b/>
        </w:rPr>
        <w:t>incapacidad laboral temporal</w:t>
      </w:r>
      <w:r>
        <w:t>, considerando exigencias del puesto, riesgos, desplazamiento, jornada y posibilidad de adaptación. El reposo debe tener finalidad terapéutica, duración proporcional, tratamiento activo y un plan de reevaluación y retorno. Estrés o conflicto laboral pueden ser clínicamente relevantes, pero no equivalen por sí solos a trastorno mental ni incapacidad.</w:t>
      </w:r>
    </w:p>
    <w:p>
      <w:r>
        <w:t>Documente inicio y curso, síntomas, examen mental, gravedad, función específica afectada, ocupación, riesgos laborales, intervenciones, necesidad y extensión del reposo, próxima evaluación y eventual retorno gradual o adaptación. Si se sospecha enfermedad profesional, active la vía de mutualidad o Instituto de Seguridad Laboral; una licencia común no reemplaza esa evaluación.</w:t>
      </w:r>
    </w:p>
    <w:p>
      <w:r>
        <w:t xml:space="preserve">La Ley 21.746, publicada el </w:t>
      </w:r>
      <w:r>
        <w:rPr>
          <w:b/>
        </w:rPr>
        <w:t>24 de mayo de 2025</w:t>
      </w:r>
      <w:r>
        <w:t>, modificó la Ley 20.585 y reforzó facultades de fiscalización y sanciones administrativas y penales por emisión o uso indebido. Los emisores deben estar legalmente habilitados e inscritos en el Registro Nacional de Prestadores Individuales; los médicos que obtuvieron o revalidaron su título desde el 19 de abril de 2009 deben, además, haber aprobado EUNACOM. La emisión sin una patología que produzca incapacidad laboral temporal durante el reposo prescrito, o sin atención de salud asociada, puede originar investigación. Cada licencia debe sostenerse en una atención real y en antecedentes clínicos suficientes, documentados según la modalidad asistencial permitida.</w:t>
      </w:r>
    </w:p>
    <w:p>
      <w:r>
        <w:t>Repetir licencias sin reevaluar función, tratamiento, adherencia y retorno debilita su fundamento. Para Marcela, la duración debe decidirse después de estabilizarla y comprender síntomas, trabajo y plan, no como respuesta automática a la violencia ni como sustituto de protección.</w:t>
      </w:r>
    </w:p>
    <w:p>
      <w:pPr>
        <w:pStyle w:val="Heading1"/>
      </w:pPr>
      <w:r>
        <w:t>Errores frecuentes</w:t>
      </w:r>
    </w:p>
    <w:p>
      <w:pPr>
        <w:pStyle w:val="ListBullet"/>
      </w:pPr>
      <w:r>
        <w:t>Entrevistar con la pareja controladora presente o prometer confidencialidad absoluta.</w:t>
      </w:r>
    </w:p>
    <w:p>
      <w:pPr>
        <w:pStyle w:val="ListBullet"/>
      </w:pPr>
      <w:r>
        <w:t>Exigir un relato completo o denuncia previa antes de atender una agresión sexual.</w:t>
      </w:r>
    </w:p>
    <w:p>
      <w:pPr>
        <w:pStyle w:val="ListBullet"/>
      </w:pPr>
      <w:r>
        <w:t>Omitir evaluación urgente tras estrangulación porque no hay marcas externas.</w:t>
      </w:r>
    </w:p>
    <w:p>
      <w:pPr>
        <w:pStyle w:val="ListBullet"/>
      </w:pPr>
      <w:r>
        <w:t>Confundir relato, hallazgo clínico y conclusión judicial.</w:t>
      </w:r>
    </w:p>
    <w:p>
      <w:pPr>
        <w:pStyle w:val="ListBullet"/>
      </w:pPr>
      <w:r>
        <w:t>Mezclar sin advertencia rol tratante y pericial o predecir violencia categóricamente.</w:t>
      </w:r>
    </w:p>
    <w:p>
      <w:pPr>
        <w:pStyle w:val="ListBullet"/>
      </w:pPr>
      <w:r>
        <w:t>Emitir licencia por diagnóstico sin demostrar incapacidad temporal, tratamiento y reevaluación.</w:t>
      </w:r>
    </w:p>
    <w:p>
      <w:pPr>
        <w:pStyle w:val="ListBullet"/>
      </w:pPr>
      <w:r>
        <w:t>Entregar al empleador antecedentes sensibles más allá de lo autorizado y necesario.</w:t>
      </w:r>
    </w:p>
    <w:p>
      <w:pPr>
        <w:pStyle w:val="Heading1"/>
      </w:pPr>
      <w:r>
        <w:t>Para recordar</w:t>
      </w:r>
    </w:p>
    <w:p>
      <w:pPr>
        <w:spacing w:after="60" w:line="288" w:lineRule="auto"/>
        <w:ind w:left="432" w:hanging="216"/>
        <w:shd w:fill="EAF6F3"/>
        <w:keepNext/>
        <w:keepLines/>
        <w:pBdr>
          <w:left w:val="single" w:sz="8" w:space="8" w:color="2A8C82"/>
        </w:pBdr>
      </w:pPr>
      <w:r>
        <w:t>1. La seguridad y la atención médica inmediata preceden a la burocracia.</w:t>
      </w:r>
    </w:p>
    <w:p>
      <w:pPr>
        <w:spacing w:after="60" w:line="288" w:lineRule="auto"/>
        <w:ind w:left="432" w:hanging="216"/>
        <w:shd w:fill="EAF6F3"/>
        <w:keepNext/>
        <w:keepLines/>
        <w:pBdr>
          <w:left w:val="single" w:sz="8" w:space="8" w:color="2A8C82"/>
        </w:pBdr>
      </w:pPr>
      <w:r>
        <w:t>2. La entrevista clínica escucha lo necesario para cuidar; no es un interrogatorio forense.</w:t>
      </w:r>
    </w:p>
    <w:p>
      <w:pPr>
        <w:spacing w:after="60" w:line="288" w:lineRule="auto"/>
        <w:ind w:left="432" w:hanging="216"/>
        <w:shd w:fill="EAF6F3"/>
        <w:keepNext/>
        <w:keepLines/>
        <w:pBdr>
          <w:left w:val="single" w:sz="8" w:space="8" w:color="2A8C82"/>
        </w:pBdr>
      </w:pPr>
      <w:r>
        <w:t>3. GES 86 exige respuesta inmediata si la agresión ocurrió dentro de 72 horas y seguimiento hasta 35 días.</w:t>
      </w:r>
    </w:p>
    <w:p>
      <w:pPr>
        <w:spacing w:after="60" w:line="288" w:lineRule="auto"/>
        <w:ind w:left="432" w:hanging="216"/>
        <w:shd w:fill="EAF6F3"/>
        <w:keepNext/>
        <w:keepLines/>
        <w:pBdr>
          <w:left w:val="single" w:sz="8" w:space="8" w:color="2A8C82"/>
        </w:pBdr>
      </w:pPr>
      <w:r>
        <w:t>4. Ficha, certificado, informe tratante, peritaje y licencia cumplen funciones diferentes.</w:t>
      </w:r>
    </w:p>
    <w:p>
      <w:pPr>
        <w:spacing w:after="60" w:line="288" w:lineRule="auto"/>
        <w:ind w:left="432" w:hanging="216"/>
        <w:shd w:fill="EAF6F3"/>
        <w:keepLines/>
        <w:pBdr>
          <w:left w:val="single" w:sz="8" w:space="8" w:color="2A8C82"/>
        </w:pBdr>
      </w:pPr>
      <w:r>
        <w:t>5. La licencia se fundamenta en incapacidad laboral temporal, duración proporcional y un plan terapéutico verificable.</w:t>
      </w:r>
    </w:p>
    <w:p>
      <w:pPr>
        <w:pStyle w:val="Heading1"/>
      </w:pPr>
      <w:r>
        <w:t>Bibliografía esencial</w:t>
      </w:r>
    </w:p>
    <w:p>
      <w:pPr>
        <w:pStyle w:val="Bibliography"/>
      </w:pPr>
      <w:r>
        <w:t xml:space="preserve">• Ministerio de Salud de Chile. </w:t>
      </w:r>
      <w:r>
        <w:rPr>
          <w:i/>
        </w:rPr>
        <w:t>GES 86: Atención integral de salud en agresión sexual aguda</w:t>
      </w:r>
      <w:r>
        <w:t xml:space="preserve">. </w:t>
      </w:r>
      <w:hyperlink r:id="rId84">
        <w:r>
          <w:rPr>
            <w:color w:val="246B8E"/>
            <w:u w:val="single"/>
          </w:rPr>
          <w:t>Ficha oficial</w:t>
        </w:r>
      </w:hyperlink>
      <w:r>
        <w:t>.</w:t>
      </w:r>
    </w:p>
    <w:p>
      <w:pPr>
        <w:pStyle w:val="Bibliography"/>
      </w:pPr>
      <w:r>
        <w:t xml:space="preserve">• Chile. Código Procesal Penal, artículos 175 y 176, sobre personas obligadas a denunciar y plazo. </w:t>
      </w:r>
      <w:hyperlink r:id="rId143">
        <w:r>
          <w:rPr>
            <w:color w:val="246B8E"/>
            <w:u w:val="single"/>
          </w:rPr>
          <w:t>Texto oficial</w:t>
        </w:r>
      </w:hyperlink>
      <w:r>
        <w:t>.</w:t>
      </w:r>
    </w:p>
    <w:p>
      <w:pPr>
        <w:pStyle w:val="Bibliography"/>
      </w:pPr>
      <w:r>
        <w:t xml:space="preserve">• Chile. Ley N.º 20.585 sobre otorgamiento y uso de licencias médicas, modificada por la Ley N.º 21.746, publicada el 24 de mayo de 2025. </w:t>
      </w:r>
      <w:hyperlink r:id="rId144">
        <w:r>
          <w:rPr>
            <w:color w:val="246B8E"/>
            <w:u w:val="single"/>
          </w:rPr>
          <w:t>Ley 21.746</w:t>
        </w:r>
      </w:hyperlink>
      <w:r>
        <w:t>.</w:t>
      </w:r>
    </w:p>
    <w:p>
      <w:pPr>
        <w:pStyle w:val="Bibliography"/>
      </w:pPr>
      <w:r>
        <w:t xml:space="preserve">• Superintendencia de Seguridad Social. </w:t>
      </w:r>
      <w:r>
        <w:rPr>
          <w:i/>
        </w:rPr>
        <w:t>Otorgamiento y uso correcto de licencias médicas</w:t>
      </w:r>
      <w:r>
        <w:t xml:space="preserve">. Orientación institucional vigente. </w:t>
      </w:r>
      <w:hyperlink r:id="rId145">
        <w:r>
          <w:rPr>
            <w:color w:val="246B8E"/>
            <w:u w:val="single"/>
          </w:rPr>
          <w:t>Compendio</w:t>
        </w:r>
      </w:hyperlink>
      <w:r>
        <w:t>.</w:t>
      </w:r>
    </w:p>
    <w:p>
      <w:pPr>
        <w:pStyle w:val="Bibliography"/>
      </w:pPr>
      <w:r>
        <w:t xml:space="preserve">• World Health Organization. </w:t>
      </w:r>
      <w:r>
        <w:rPr>
          <w:i/>
        </w:rPr>
        <w:t>Responding to intimate partner violence and sexual violence against women: WHO clinical and policy guidelines</w:t>
      </w:r>
      <w:r>
        <w:t>. Geneva: WHO; 2013.</w:t>
      </w:r>
    </w:p>
    <w:p>
      <w:pPr>
        <w:pStyle w:val="Bibliography"/>
      </w:pPr>
      <w:r>
        <w:t xml:space="preserve">• Office of the United Nations High Commissioner for Human Rights. </w:t>
      </w:r>
      <w:r>
        <w:rPr>
          <w:i/>
        </w:rPr>
        <w:t>Istanbul Protocol: Manual on the Effective Investigation and Documentation of Torture and Other Cruel, Inhuman or Degrading Treatment or Punishment</w:t>
      </w:r>
      <w:r>
        <w:t xml:space="preserve">. Rev. 2. New York/Geneva: United Nations; 2022. </w:t>
      </w:r>
      <w:hyperlink r:id="rId146">
        <w:r>
          <w:rPr>
            <w:color w:val="246B8E"/>
            <w:u w:val="single"/>
          </w:rPr>
          <w:t>Registro oficial</w:t>
        </w:r>
      </w:hyperlink>
      <w:r>
        <w:t>.</w:t>
      </w:r>
    </w:p>
    <w:p>
      <w:r>
        <w:br w:type="page"/>
      </w:r>
    </w:p>
    <w:p>
      <w:pPr>
        <w:spacing w:after="480"/>
      </w:pPr>
      <w:r>
        <w:rPr>
          <w:rFonts w:ascii="Calibri" w:hAnsi="Calibri"/>
          <w:b/>
          <w:color w:val="2A8C82"/>
          <w:sz w:val="20"/>
        </w:rPr>
        <w:t>CAPÍTULO 50 · MATERIAL PARA ESTUDIANTES</w:t>
      </w:r>
    </w:p>
    <w:tbl>
      <w:tblPr>
        <w:tblW w:type="auto" w:w="0"/>
        <w:jc w:val="left"/>
        <w:tblLayout w:type="fixed"/>
        <w:tblLook w:firstColumn="1" w:firstRow="1" w:lastColumn="0" w:lastRow="0" w:noHBand="0" w:noVBand="1" w:val="04A0"/>
      </w:tblPr>
      <w:tblGrid>
        <w:gridCol w:w="9648"/>
      </w:tblGrid>
      <w:tr>
        <w:trPr>
          <w:tblHeader w:val="true"/>
        </w:trPr>
        <w:tc>
          <w:tcPr>
            <w:tcW w:type="dxa" w:w="9072"/>
            <w:shd w:fill="173A5E"/>
            <w:tcMar>
              <w:top w:w="120" w:type="dxa"/>
              <w:start w:w="220" w:type="dxa"/>
              <w:bottom w:w="120" w:type="dxa"/>
              <w:end w:w="220" w:type="dxa"/>
            </w:tcMar>
          </w:tcPr>
          <w:p>
            <w:pPr>
              <w:spacing w:after="0"/>
            </w:pPr>
            <w:r>
              <w:rPr>
                <w:rFonts w:ascii="Calibri" w:hAnsi="Calibri"/>
                <w:b/>
                <w:color w:val="FFFFFF"/>
                <w:sz w:val="19"/>
              </w:rPr>
              <w:t>MÓDULO III · TEMAS ESENCIALES E INTEGRACIÓN EN CHILE</w:t>
            </w:r>
          </w:p>
        </w:tc>
      </w:tr>
    </w:tbl>
    <w:p>
      <w:pPr>
        <w:pStyle w:val="Title"/>
        <w:spacing w:before="520" w:after="360"/>
        <w:outlineLvl w:val="0"/>
      </w:pPr>
      <w:bookmarkStart w:id="1050" w:name="chapter_50"/>
      <w:r>
        <w:t>Manejo psiquiátrico inicial en Chile: red, GES e integración final</w:t>
      </w:r>
      <w:bookmarkEnd w:id="1050"/>
    </w:p>
    <w:p>
      <w:pPr>
        <w:spacing w:after="80"/>
      </w:pPr>
      <w:r>
        <w:rPr>
          <w:rFonts w:ascii="Calibri" w:hAnsi="Calibri"/>
          <w:b/>
          <w:color w:val="246B8E"/>
          <w:sz w:val="26"/>
        </w:rPr>
        <w:t>Programa de Psiquiatría para internos de Medicina</w:t>
      </w:r>
    </w:p>
    <w:p>
      <w:r>
        <w:rPr>
          <w:rFonts w:ascii="Calibri" w:hAnsi="Calibri"/>
          <w:color w:val="6B7280"/>
          <w:sz w:val="22"/>
        </w:rPr>
        <w:t>Lectura complementaria · Chile · Versión final para revisión humana · 2026</w:t>
      </w:r>
    </w:p>
    <w:p/>
    <w:p/>
    <w:p/>
    <w:p/>
    <w:p/>
    <w:tbl>
      <w:tblPr>
        <w:tblW w:type="auto" w:w="0"/>
        <w:jc w:val="left"/>
        <w:tblLayout w:type="fixed"/>
        <w:tblLook w:firstColumn="1" w:firstRow="1" w:lastColumn="0" w:lastRow="0" w:noHBand="0" w:noVBand="1" w:val="04A0"/>
      </w:tblPr>
      <w:tblGrid>
        <w:gridCol w:w="9648"/>
      </w:tblGrid>
      <w:tr>
        <w:trPr>
          <w:tblHeader w:val="true"/>
        </w:trPr>
        <w:tc>
          <w:tcPr>
            <w:tcW w:type="dxa" w:w="9648"/>
            <w:shd w:fill="F3F5F6"/>
            <w:tcBorders>
              <w:start w:val="single" w:sz="18" w:color="2A8C82"/>
            </w:tcBorders>
            <w:tcMar>
              <w:top w:w="160" w:type="dxa"/>
              <w:start w:w="220" w:type="dxa"/>
              <w:bottom w:w="160" w:type="dxa"/>
              <w:end w:w="220" w:type="dxa"/>
            </w:tcMar>
          </w:tcPr>
          <w:p>
            <w:pPr>
              <w:spacing w:after="0"/>
            </w:pPr>
            <w:r>
              <w:rPr>
                <w:rFonts w:ascii="Calibri" w:hAnsi="Calibri"/>
                <w:i/>
                <w:color w:val="6B7280"/>
                <w:sz w:val="18"/>
              </w:rPr>
              <w:t>Versión docente final para revisión humana. Material propuesto y contextualizado a Chile; no corresponde a un programa oficial de la Pontificia Universidad Católica de Chile ni sustituye protocolos locales, supervisión clínica o evaluación especializada. Fuentes revisadas al 15 de agosto de 2026.</w:t>
            </w:r>
          </w:p>
        </w:tc>
      </w:tr>
    </w:tbl>
    <w:p>
      <w:r>
        <w:br w:type="page"/>
      </w:r>
    </w:p>
    <w:tbl>
      <w:tblPr>
        <w:tblW w:type="auto" w:w="0"/>
        <w:jc w:val="center"/>
        <w:tblLayout w:type="autofit"/>
        <w:tblLook w:firstColumn="1" w:firstRow="1" w:lastColumn="0" w:lastRow="0" w:noHBand="0" w:noVBand="1" w:val="04A0"/>
      </w:tblPr>
      <w:tblGrid>
        <w:gridCol w:w="9648"/>
      </w:tblGrid>
      <w:tr>
        <w:trPr>
          <w:tblHeader w:val="true"/>
        </w:trPr>
        <w:tc>
          <w:tcPr>
            <w:tcW w:type="dxa" w:w="9648"/>
            <w:vAlign w:val="center"/>
            <w:shd w:fill="EAF3F7"/>
            <w:tcBorders>
              <w:start w:val="single" w:sz="14" w:color="2A8C82"/>
            </w:tcBorders>
            <w:tcMar>
              <w:top w:w="130" w:type="dxa"/>
              <w:start w:w="190" w:type="dxa"/>
              <w:bottom w:w="130" w:type="dxa"/>
              <w:end w:w="190" w:type="dxa"/>
            </w:tcMar>
          </w:tcPr>
          <w:p>
            <w:pPr>
              <w:spacing w:after="0"/>
            </w:pPr>
            <w:r>
              <w:rPr>
                <w:b/>
                <w:color w:val="173A5E"/>
              </w:rPr>
              <w:t xml:space="preserve">PREGUNTA CLÍNICA  </w:t>
            </w:r>
            <w:r>
              <w:t>ante cualquier consulta psiquiátrica, ¿qué debe resolver el médico general, qué puede iniciar, a quién debe derivar y cómo asegura continuidad?</w:t>
            </w:r>
          </w:p>
        </w:tc>
      </w:tr>
    </w:tbl>
    <w:p>
      <w:pPr>
        <w:spacing w:after="0"/>
      </w:pPr>
    </w:p>
    <w:tbl>
      <w:tblPr>
        <w:tblW w:type="auto" w:w="0"/>
        <w:jc w:val="center"/>
        <w:tblLayout w:type="autofit"/>
        <w:tblLook w:firstColumn="1" w:firstRow="1" w:lastColumn="0" w:lastRow="0" w:noHBand="0" w:noVBand="1" w:val="04A0"/>
      </w:tblPr>
      <w:tblGrid>
        <w:gridCol w:w="9648"/>
      </w:tblGrid>
      <w:tr>
        <w:trPr>
          <w:tblHeader w:val="true"/>
        </w:trPr>
        <w:tc>
          <w:tcPr>
            <w:tcW w:type="dxa" w:w="9648"/>
            <w:vAlign w:val="center"/>
            <w:shd w:fill="EAF6F3"/>
            <w:tcBorders>
              <w:start w:val="single" w:sz="14" w:color="2A8C82"/>
            </w:tcBorders>
            <w:tcMar>
              <w:top w:w="130" w:type="dxa"/>
              <w:start w:w="190" w:type="dxa"/>
              <w:bottom w:w="130" w:type="dxa"/>
              <w:end w:w="190" w:type="dxa"/>
            </w:tcMar>
          </w:tcPr>
          <w:p>
            <w:pPr>
              <w:spacing w:after="0"/>
            </w:pPr>
            <w:r>
              <w:rPr>
                <w:b/>
                <w:color w:val="173A5E"/>
              </w:rPr>
              <w:t xml:space="preserve">IDEA CENTRAL  </w:t>
            </w:r>
            <w:r>
              <w:t>la competencia clínica final consiste en integrar entrevista, riesgo, diagnóstico, tratamiento, derechos y red en una conducta coherente, no en acumular etiquetas.</w:t>
            </w:r>
          </w:p>
        </w:tc>
      </w:tr>
    </w:tbl>
    <w:p>
      <w:pPr>
        <w:spacing w:after="0"/>
      </w:pPr>
    </w:p>
    <w:p>
      <w:pPr>
        <w:pStyle w:val="Heading1"/>
      </w:pPr>
      <w:r>
        <w:t>Por qué importa</w:t>
      </w:r>
    </w:p>
    <w:p>
      <w:r>
        <w:t>Una buena entrevista pierde valor si no produce una disposición segura. Derivar sin tratamiento puente deja al paciente sin responsable; activar GES sin comprender el síndrome confunde una garantía con una guía clínica. Intentar resolver en atención primaria una catatonía, un delirium o un riesgo suicida no contenible también expone a daño.</w:t>
      </w:r>
    </w:p>
    <w:p>
      <w:r>
        <w:t>El médico general debe reconocer urgencias, buscar causas médicas y por sustancias, iniciar medidas seguras, elegir nivel de atención y activar garantías. Los dispositivos varían por Servicio de Salud, pero la obligación de continuidad permanece.</w:t>
      </w:r>
    </w:p>
    <w:p>
      <w:pPr>
        <w:pStyle w:val="Heading1"/>
      </w:pPr>
      <w:r>
        <w:t>Objetivos de aprendizaje</w:t>
      </w:r>
    </w:p>
    <w:p>
      <w:pPr>
        <w:keepNext/>
      </w:pPr>
      <w:r>
        <w:t>Al terminar este capítulo, el lector podrá:</w:t>
      </w:r>
    </w:p>
    <w:p>
      <w:pPr>
        <w:spacing w:after="60" w:line="288" w:lineRule="auto"/>
        <w:ind w:left="432" w:hanging="216"/>
      </w:pPr>
      <w:r>
        <w:t>1. Aplicar un algoritmo común de cinco preguntas ante cualquier consulta psiquiátrica.</w:t>
      </w:r>
    </w:p>
    <w:p>
      <w:pPr>
        <w:spacing w:after="60" w:line="288" w:lineRule="auto"/>
        <w:ind w:left="432" w:hanging="216"/>
      </w:pPr>
      <w:r>
        <w:t>2. Elegir entre atención primaria, especialidad ambulatoria, tratamiento intensivo, urgencia y hospitalización.</w:t>
      </w:r>
    </w:p>
    <w:p>
      <w:pPr>
        <w:spacing w:after="60" w:line="288" w:lineRule="auto"/>
        <w:ind w:left="432" w:hanging="216"/>
      </w:pPr>
      <w:r>
        <w:t>3. Comprender la lógica de la red comunitaria chilena y sus variaciones territoriales.</w:t>
      </w:r>
    </w:p>
    <w:p>
      <w:pPr>
        <w:spacing w:after="60" w:line="288" w:lineRule="auto"/>
        <w:ind w:left="432" w:hanging="216"/>
      </w:pPr>
      <w:r>
        <w:t>4. Diferenciar garantías GES, canasta de prestaciones, recomendación clínica y protocolo local.</w:t>
      </w:r>
    </w:p>
    <w:p>
      <w:pPr>
        <w:spacing w:after="60" w:line="288" w:lineRule="auto"/>
        <w:ind w:left="432" w:hanging="216"/>
      </w:pPr>
      <w:r>
        <w:t>5. Reconocer población de acceso e hitos de oportunidad de GES 15, 34, 53, 75, 85, 86, 89 y 90.</w:t>
      </w:r>
    </w:p>
    <w:p>
      <w:pPr>
        <w:spacing w:after="60" w:line="288" w:lineRule="auto"/>
        <w:ind w:left="432" w:hanging="216"/>
      </w:pPr>
      <w:r>
        <w:t>6. Redactar una derivación útil y mantener un plan puente hasta el traspaso efectivo.</w:t>
      </w:r>
    </w:p>
    <w:p>
      <w:pPr>
        <w:spacing w:after="60" w:line="288" w:lineRule="auto"/>
        <w:ind w:left="432" w:hanging="216"/>
      </w:pPr>
      <w:r>
        <w:t>7. Integrar capacidad, consentimiento, documentación y deberes sistémicos en la disposición final.</w:t>
      </w:r>
    </w:p>
    <w:p>
      <w:pPr>
        <w:pStyle w:val="Heading1"/>
      </w:pPr>
      <w:r>
        <w:t>Caso clínico</w:t>
      </w:r>
    </w:p>
    <w:p>
      <w:pPr>
        <w:shd w:fill="EAF3F7"/>
        <w:keepLines/>
        <w:pBdr>
          <w:left w:val="single" w:sz="8" w:space="8" w:color="246B8E"/>
        </w:pBdr>
        <w:ind w:left="173" w:right="86"/>
      </w:pPr>
      <w:r>
        <w:t>En APS llegan tres consultas. Diego, de 27 años, presenta por primera vez delirios, insomnio y deterioro; consume cannabis y está agitado. Laura, de 46 años, tiene depresión confirmada, ideación de muerte sin plan y diabetes mal controlada. Rosa, de 76 años, muestra deterioro cognitivo progresivo, pero hoy está inatenta, febril y desorientada. Sólo una formulación completa distingue primer episodio psicótico, depresión tratable en APS y delirium sobre posible demencia. El número GES no reemplaza esa decisión.</w:t>
      </w:r>
    </w:p>
    <w:p>
      <w:pPr>
        <w:pStyle w:val="Heading1"/>
      </w:pPr>
      <w:r>
        <w:t>1. Las cinco preguntas que organizan la consulta</w:t>
      </w:r>
    </w:p>
    <w:p>
      <w:r>
        <w:rPr>
          <w:b/>
        </w:rPr>
        <w:t>Primera: ¿existe una urgencia no diferible?</w:t>
      </w:r>
      <w:r>
        <w:t xml:space="preserve"> Busque riesgo suicida u homicida actual, agitación grave, delirium, catatonía, intoxicación o abstinencia complicada, compromiso médico, psicosis con incapacidad de autocuidado, inanición y violencia. Evalúe signos vitales, glicemia, conciencia, atención y lesiones. Si la respuesta es sí, estabilice, solicite ayuda y traslade al nivel capaz de resolver; no espere completar una entrevista extensa ni un plazo GES.</w:t>
      </w:r>
    </w:p>
    <w:p>
      <w:r>
        <w:rPr>
          <w:b/>
        </w:rPr>
        <w:t>Segunda: ¿cuál es el síndrome y qué causas secundarias debo excluir?</w:t>
      </w:r>
      <w:r>
        <w:t xml:space="preserve"> Organice dominios afectivo, psicótico, ansioso, cognitivo, por sustancias o conductual. Defina inicio, curso, función y relación con fármacos, drogas o enfermedades. En Rosa, fiebre, inatención y cambio agudo obligan a tratar delirium antes de atribuirlo a demencia.</w:t>
      </w:r>
    </w:p>
    <w:p>
      <w:r>
        <w:rPr>
          <w:b/>
        </w:rPr>
        <w:t>Tercera: ¿qué puedo iniciar con seguridad?</w:t>
      </w:r>
      <w:r>
        <w:t xml:space="preserve"> Algunas condiciones permiten manejo inicial en APS; otras exigen estabilización y especialidad. Considere psicoeducación, intervención breve, comorbilidad y fármacos cuando indicación y monitorización sean claras. No improvise desintoxicaciones ni tratamientos complejos.</w:t>
      </w:r>
    </w:p>
    <w:p>
      <w:r>
        <w:rPr>
          <w:b/>
        </w:rPr>
        <w:t>Cuarta: ¿qué nivel de atención necesita?</w:t>
      </w:r>
      <w:r>
        <w:t xml:space="preserve"> Integre gravedad, riesgo, incertidumbre diagnóstica, comorbilidad médica, respuesta previa, funcionamiento, apoyo, capacidad de adherencia y recursos locales. “Derivar a psiquiatría” no es una disposición suficiente: especifique urgencia y dispositivo.</w:t>
      </w:r>
    </w:p>
    <w:p>
      <w:r>
        <w:rPr>
          <w:b/>
        </w:rPr>
        <w:t>Quinta: ¿qué deber sistémico acompaña la decisión?</w:t>
      </w:r>
      <w:r>
        <w:t xml:space="preserve"> Revise GES, consentimiento, capacidad, comunicaciones legales, protección de vulnerables, licencia, seguimiento y contrarreferencia. Documente quién queda a cargo y qué ocurrirá si el cuadro empeora.</w:t>
      </w:r>
    </w:p>
    <w:p>
      <w:pPr>
        <w:pStyle w:val="Heading1"/>
      </w:pPr>
      <w:r>
        <w:t>2. Elegir nivel de atención y manejar agitación</w:t>
      </w:r>
    </w:p>
    <w:p>
      <w:r>
        <w:t>La APS —CESFAM, CECOSF y otros establecimientos— maneja trastornos frecuentes de complejidad baja o moderada, prevención, seguimiento y monitorización física. La consultoría permite decisiones compartidas. La especialidad territorial, como COSAM, es apropiada ante psicosis, bipolaridad, incertidumbre, refractariedad o deterioro importante. Hospital de día ofrece estructura sin ingreso completo; urgencia y unidad de agudos se requieren cuando riesgo o compromiso médico no pueden contenerse ambulatoriamente.</w:t>
      </w:r>
    </w:p>
    <w:p>
      <w:r>
        <w:t>Ante agitación, asegure el entorno, pida apoyo y reduzca estímulos. Busque hipoxia, hipoglicemia, delirium, intoxicación, abstinencia, trauma, dolor e hipertermia antes de asumir causa psiquiátrica. Use desescalada y ofrezca tratamiento voluntario dirigido a la causa. Si necesita medicación urgente, elija fármaco y vía según etiología, comorbilidad, interacciones y monitorización disponible. Las medidas restrictivas son excepcionales, proporcionales y de mínima duración; documente indicación, vigilancia y término. La hospitalización involuntaria sólo procede bajo los requisitos del DS 9/2024.</w:t>
      </w:r>
    </w:p>
    <w:p>
      <w:pPr>
        <w:pStyle w:val="Heading1"/>
      </w:pPr>
      <w:r>
        <w:t>3. La red es un continuo, no una lista de edificios</w:t>
      </w:r>
    </w:p>
    <w:p>
      <w:r>
        <w:t>Una red funcional conecta APS y consultoría con especialidad, hospital general y enlace, hospital de día, urgencia, hospitalización, rehabilitación y apoyos comunitarios. Puede coordinar municipio, educación, protección social, SENDA y programas de violencia. Cada profesional debe conocer el mapa de su Servicio de Salud.</w:t>
      </w:r>
    </w:p>
    <w:p>
      <w:r>
        <w:t>Después de un alta se necesitan conciliación farmacológica, plan de seguridad, citas, responsable y señales de alarma. Tras derivar, el equipo de origen sigue hasta que el receptor asume. La contrarreferencia informa diagnóstico de trabajo, tratamientos, controles y condiciones para reconsultar.</w:t>
      </w:r>
    </w:p>
    <w:p>
      <w:pPr>
        <w:pStyle w:val="Heading1"/>
      </w:pPr>
      <w:r>
        <w:t>4. GES: garantía no es guía clínica</w:t>
      </w:r>
    </w:p>
    <w:p>
      <w:r>
        <w:t xml:space="preserve">GES otorga garantías exigibles de </w:t>
      </w:r>
      <w:r>
        <w:rPr>
          <w:b/>
        </w:rPr>
        <w:t>acceso, oportunidad, protección financiera y calidad</w:t>
      </w:r>
      <w:r>
        <w:t xml:space="preserve"> para problemas definidos. La canasta determina prestaciones cubiertas; no obliga a indicarlas a todos. Un fármaco financiado puede ser inadecuado y una intervención clínicamente necesaria puede requerir otra vía si no está en la canasta. Los protocolos locales operacionalizan el acceso, pero no deben retrasar una urgencia. Tampoco todos los trastornos mentales son GES.</w:t>
      </w:r>
    </w:p>
    <w:p>
      <w:r>
        <w:t>El hito que activa cada garantía varía: sospecha, confirmación, derivación, indicación o solicitud de atención. Por ello no se trasladan plazos de un problema a otro. En particular, GES 15 es el número de esquizofrenia, no una edad mínima.</w:t>
      </w:r>
    </w:p>
    <w:tbl>
      <w:tblPr>
        <w:tblStyle w:val="TableGrid"/>
        <w:tblW w:type="auto" w:w="0"/>
        <w:jc w:val="center"/>
        <w:tblLayout w:type="autofit"/>
        <w:tblLook w:firstColumn="1" w:firstRow="1" w:lastColumn="0" w:lastRow="0" w:noHBand="0" w:noVBand="1" w:val="04A0"/>
      </w:tblPr>
      <w:tblGrid>
        <w:gridCol w:w="3216"/>
        <w:gridCol w:w="3216"/>
        <w:gridCol w:w="3216"/>
      </w:tblGrid>
      <w:tr>
        <w:trPr>
          <w:cantSplit/>
          <w:tblHeader w:val="true"/>
        </w:trPr>
        <w:tc>
          <w:tcPr>
            <w:tcW w:type="dxa" w:w="2088"/>
            <w:vAlign w:val="center"/>
            <w:tcMar>
              <w:top w:w="85" w:type="dxa"/>
              <w:start w:w="95" w:type="dxa"/>
              <w:bottom w:w="85" w:type="dxa"/>
              <w:end w:w="95" w:type="dxa"/>
            </w:tcMar>
            <w:shd w:fill="173A5E"/>
          </w:tcPr>
          <w:p>
            <w:pPr>
              <w:spacing w:after="0" w:line="259" w:lineRule="auto"/>
            </w:pPr>
            <w:r>
              <w:rPr>
                <w:rFonts w:ascii="Calibri" w:hAnsi="Calibri"/>
                <w:b/>
                <w:color w:val="FFFFFF"/>
                <w:sz w:val="17"/>
              </w:rPr>
              <w:t>Problema</w:t>
            </w:r>
          </w:p>
        </w:tc>
        <w:tc>
          <w:tcPr>
            <w:tcW w:type="dxa" w:w="3528"/>
            <w:vAlign w:val="center"/>
            <w:tcMar>
              <w:top w:w="85" w:type="dxa"/>
              <w:start w:w="95" w:type="dxa"/>
              <w:bottom w:w="85" w:type="dxa"/>
              <w:end w:w="95" w:type="dxa"/>
            </w:tcMar>
            <w:shd w:fill="173A5E"/>
          </w:tcPr>
          <w:p>
            <w:pPr>
              <w:spacing w:after="0" w:line="259" w:lineRule="auto"/>
            </w:pPr>
            <w:r>
              <w:rPr>
                <w:rFonts w:ascii="Calibri" w:hAnsi="Calibri"/>
                <w:b/>
                <w:color w:val="FFFFFF"/>
                <w:sz w:val="17"/>
              </w:rPr>
              <w:t>Población y acceso</w:t>
            </w:r>
          </w:p>
        </w:tc>
        <w:tc>
          <w:tcPr>
            <w:tcW w:type="dxa" w:w="3672"/>
            <w:vAlign w:val="center"/>
            <w:tcMar>
              <w:top w:w="85" w:type="dxa"/>
              <w:start w:w="95" w:type="dxa"/>
              <w:bottom w:w="85" w:type="dxa"/>
              <w:end w:w="95" w:type="dxa"/>
            </w:tcMar>
            <w:shd w:fill="173A5E"/>
          </w:tcPr>
          <w:p>
            <w:pPr>
              <w:spacing w:after="0" w:line="259" w:lineRule="auto"/>
            </w:pPr>
            <w:r>
              <w:rPr>
                <w:rFonts w:ascii="Calibri" w:hAnsi="Calibri"/>
                <w:b/>
                <w:color w:val="FFFFFF"/>
                <w:sz w:val="17"/>
              </w:rPr>
              <w:t>Oportunidad esencial</w:t>
            </w:r>
          </w:p>
        </w:tc>
      </w:tr>
      <w:tr>
        <w:trPr>
          <w:cantSplit/>
        </w:trPr>
        <w:tc>
          <w:tcPr>
            <w:tcW w:type="dxa" w:w="2088"/>
            <w:vAlign w:val="center"/>
            <w:tcMar>
              <w:top w:w="85" w:type="dxa"/>
              <w:start w:w="95" w:type="dxa"/>
              <w:bottom w:w="85" w:type="dxa"/>
              <w:end w:w="95" w:type="dxa"/>
            </w:tcMar>
            <w:shd w:fill="F7FAFB"/>
          </w:tcPr>
          <w:p>
            <w:pPr>
              <w:spacing w:after="0" w:line="259" w:lineRule="auto"/>
            </w:pPr>
            <w:r>
              <w:rPr>
                <w:rFonts w:ascii="Calibri" w:hAnsi="Calibri"/>
                <w:b/>
                <w:sz w:val="17"/>
              </w:rPr>
              <w:t>GES 15: esquizofrenia</w:t>
            </w:r>
          </w:p>
        </w:tc>
        <w:tc>
          <w:tcPr>
            <w:tcW w:type="dxa" w:w="3528"/>
            <w:vAlign w:val="center"/>
            <w:tcMar>
              <w:top w:w="85" w:type="dxa"/>
              <w:start w:w="95" w:type="dxa"/>
              <w:bottom w:w="85" w:type="dxa"/>
              <w:end w:w="95" w:type="dxa"/>
            </w:tcMar>
            <w:shd w:fill="F7FAFB"/>
          </w:tcPr>
          <w:p>
            <w:pPr>
              <w:spacing w:after="0" w:line="259" w:lineRule="auto"/>
            </w:pPr>
            <w:r>
              <w:rPr>
                <w:rFonts w:ascii="Calibri" w:hAnsi="Calibri"/>
                <w:sz w:val="17"/>
              </w:rPr>
              <w:t>Personas de cualquier edad con sospecha y síntomas manifestados por primera vez desde el 1 de julio de 2005. La sospecha da acceso a evaluación, confirmación y tratamiento.</w:t>
            </w:r>
          </w:p>
        </w:tc>
        <w:tc>
          <w:tcPr>
            <w:tcW w:type="dxa" w:w="3672"/>
            <w:vAlign w:val="center"/>
            <w:tcMar>
              <w:top w:w="85" w:type="dxa"/>
              <w:start w:w="95" w:type="dxa"/>
              <w:bottom w:w="85" w:type="dxa"/>
              <w:end w:w="95" w:type="dxa"/>
            </w:tcMar>
            <w:shd w:fill="F7FAFB"/>
          </w:tcPr>
          <w:p>
            <w:pPr>
              <w:spacing w:after="0" w:line="259" w:lineRule="auto"/>
            </w:pPr>
            <w:r>
              <w:rPr>
                <w:rFonts w:ascii="Calibri" w:hAnsi="Calibri"/>
                <w:sz w:val="17"/>
              </w:rPr>
              <w:t xml:space="preserve">Consulta con especialista dentro de </w:t>
            </w:r>
            <w:r>
              <w:rPr>
                <w:rFonts w:ascii="Calibri" w:hAnsi="Calibri"/>
                <w:b/>
                <w:sz w:val="17"/>
              </w:rPr>
              <w:t>20 días desde la derivación</w:t>
            </w:r>
            <w:r>
              <w:rPr>
                <w:rFonts w:ascii="Calibri" w:hAnsi="Calibri"/>
                <w:sz w:val="17"/>
              </w:rPr>
              <w:t>; tratamiento desde la indicación del especialista. No garantiza confirmación en 20 días ni hospitalización en 24 horas.</w:t>
            </w:r>
          </w:p>
        </w:tc>
      </w:tr>
      <w:tr>
        <w:trPr>
          <w:cantSplit/>
        </w:trPr>
        <w:tc>
          <w:tcPr>
            <w:tcW w:type="dxa" w:w="2088"/>
            <w:vAlign w:val="center"/>
            <w:tcMar>
              <w:top w:w="85" w:type="dxa"/>
              <w:start w:w="95" w:type="dxa"/>
              <w:bottom w:w="85" w:type="dxa"/>
              <w:end w:w="95" w:type="dxa"/>
            </w:tcMar>
            <w:shd w:fill="EAF3F7"/>
          </w:tcPr>
          <w:p>
            <w:pPr>
              <w:spacing w:after="0" w:line="259" w:lineRule="auto"/>
            </w:pPr>
            <w:r>
              <w:rPr>
                <w:rFonts w:ascii="Calibri" w:hAnsi="Calibri"/>
                <w:b/>
                <w:sz w:val="17"/>
              </w:rPr>
              <w:t>GES 34: depresión</w:t>
            </w:r>
          </w:p>
        </w:tc>
        <w:tc>
          <w:tcPr>
            <w:tcW w:type="dxa" w:w="3528"/>
            <w:vAlign w:val="center"/>
            <w:tcMar>
              <w:top w:w="85" w:type="dxa"/>
              <w:start w:w="95" w:type="dxa"/>
              <w:bottom w:w="85" w:type="dxa"/>
              <w:end w:w="95" w:type="dxa"/>
            </w:tcMar>
            <w:shd w:fill="EAF3F7"/>
          </w:tcPr>
          <w:p>
            <w:pPr>
              <w:spacing w:after="0" w:line="259" w:lineRule="auto"/>
            </w:pPr>
            <w:r>
              <w:rPr>
                <w:rFonts w:ascii="Calibri" w:hAnsi="Calibri"/>
                <w:sz w:val="17"/>
              </w:rPr>
              <w:t xml:space="preserve">Personas de </w:t>
            </w:r>
            <w:r>
              <w:rPr>
                <w:rFonts w:ascii="Calibri" w:hAnsi="Calibri"/>
                <w:b/>
                <w:sz w:val="17"/>
              </w:rPr>
              <w:t>15 años o más</w:t>
            </w:r>
            <w:r>
              <w:rPr>
                <w:rFonts w:ascii="Calibri" w:hAnsi="Calibri"/>
                <w:sz w:val="17"/>
              </w:rPr>
              <w:t xml:space="preserve"> con diagnóstico confirmado.</w:t>
            </w:r>
          </w:p>
        </w:tc>
        <w:tc>
          <w:tcPr>
            <w:tcW w:type="dxa" w:w="3672"/>
            <w:vAlign w:val="center"/>
            <w:tcMar>
              <w:top w:w="85" w:type="dxa"/>
              <w:start w:w="95" w:type="dxa"/>
              <w:bottom w:w="85" w:type="dxa"/>
              <w:end w:w="95" w:type="dxa"/>
            </w:tcMar>
            <w:shd w:fill="EAF3F7"/>
          </w:tcPr>
          <w:p>
            <w:pPr>
              <w:spacing w:after="0" w:line="259" w:lineRule="auto"/>
            </w:pPr>
            <w:r>
              <w:rPr>
                <w:rFonts w:ascii="Calibri" w:hAnsi="Calibri"/>
                <w:sz w:val="17"/>
              </w:rPr>
              <w:t xml:space="preserve">Tratamiento inmediato desde la confirmación; especialista dentro de </w:t>
            </w:r>
            <w:r>
              <w:rPr>
                <w:rFonts w:ascii="Calibri" w:hAnsi="Calibri"/>
                <w:b/>
                <w:sz w:val="17"/>
              </w:rPr>
              <w:t>30 días desde la derivación</w:t>
            </w:r>
            <w:r>
              <w:rPr>
                <w:rFonts w:ascii="Calibri" w:hAnsi="Calibri"/>
                <w:sz w:val="17"/>
              </w:rPr>
              <w:t>.</w:t>
            </w:r>
          </w:p>
        </w:tc>
      </w:tr>
      <w:tr>
        <w:trPr>
          <w:cantSplit/>
        </w:trPr>
        <w:tc>
          <w:tcPr>
            <w:tcW w:type="dxa" w:w="2088"/>
            <w:vAlign w:val="center"/>
            <w:tcMar>
              <w:top w:w="85" w:type="dxa"/>
              <w:start w:w="95" w:type="dxa"/>
              <w:bottom w:w="85" w:type="dxa"/>
              <w:end w:w="95" w:type="dxa"/>
            </w:tcMar>
            <w:shd w:fill="F7FAFB"/>
          </w:tcPr>
          <w:p>
            <w:pPr>
              <w:spacing w:after="0" w:line="259" w:lineRule="auto"/>
            </w:pPr>
            <w:r>
              <w:rPr>
                <w:rFonts w:ascii="Calibri" w:hAnsi="Calibri"/>
                <w:b/>
                <w:sz w:val="17"/>
              </w:rPr>
              <w:t>GES 53: alcohol y drogas</w:t>
            </w:r>
          </w:p>
        </w:tc>
        <w:tc>
          <w:tcPr>
            <w:tcW w:type="dxa" w:w="3528"/>
            <w:vAlign w:val="center"/>
            <w:tcMar>
              <w:top w:w="85" w:type="dxa"/>
              <w:start w:w="95" w:type="dxa"/>
              <w:bottom w:w="85" w:type="dxa"/>
              <w:end w:w="95" w:type="dxa"/>
            </w:tcMar>
            <w:shd w:fill="F7FAFB"/>
          </w:tcPr>
          <w:p>
            <w:pPr>
              <w:spacing w:after="0" w:line="259" w:lineRule="auto"/>
            </w:pPr>
            <w:r>
              <w:rPr>
                <w:rFonts w:ascii="Calibri" w:hAnsi="Calibri"/>
                <w:sz w:val="17"/>
              </w:rPr>
              <w:t xml:space="preserve">Menores de </w:t>
            </w:r>
            <w:r>
              <w:rPr>
                <w:rFonts w:ascii="Calibri" w:hAnsi="Calibri"/>
                <w:b/>
                <w:sz w:val="17"/>
              </w:rPr>
              <w:t>20 años</w:t>
            </w:r>
            <w:r>
              <w:rPr>
                <w:rFonts w:ascii="Calibri" w:hAnsi="Calibri"/>
                <w:sz w:val="17"/>
              </w:rPr>
              <w:t xml:space="preserve"> con consumo perjudicial o dependencia de riesgo bajo a moderado confirmados.</w:t>
            </w:r>
          </w:p>
        </w:tc>
        <w:tc>
          <w:tcPr>
            <w:tcW w:type="dxa" w:w="3672"/>
            <w:vAlign w:val="center"/>
            <w:tcMar>
              <w:top w:w="85" w:type="dxa"/>
              <w:start w:w="95" w:type="dxa"/>
              <w:bottom w:w="85" w:type="dxa"/>
              <w:end w:w="95" w:type="dxa"/>
            </w:tcMar>
            <w:shd w:fill="F7FAFB"/>
          </w:tcPr>
          <w:p>
            <w:pPr>
              <w:spacing w:after="0" w:line="259" w:lineRule="auto"/>
            </w:pPr>
            <w:r>
              <w:rPr>
                <w:rFonts w:ascii="Calibri" w:hAnsi="Calibri"/>
                <w:sz w:val="17"/>
              </w:rPr>
              <w:t xml:space="preserve">Tratamiento dentro de </w:t>
            </w:r>
            <w:r>
              <w:rPr>
                <w:rFonts w:ascii="Calibri" w:hAnsi="Calibri"/>
                <w:b/>
                <w:sz w:val="17"/>
              </w:rPr>
              <w:t>10 días desde la confirmación</w:t>
            </w:r>
            <w:r>
              <w:rPr>
                <w:rFonts w:ascii="Calibri" w:hAnsi="Calibri"/>
                <w:sz w:val="17"/>
              </w:rPr>
              <w:t>, con seguimiento. No corresponde a dependencia grave ni desintoxicación.</w:t>
            </w:r>
          </w:p>
        </w:tc>
      </w:tr>
      <w:tr>
        <w:trPr>
          <w:cantSplit/>
        </w:trPr>
        <w:tc>
          <w:tcPr>
            <w:tcW w:type="dxa" w:w="2088"/>
            <w:vAlign w:val="center"/>
            <w:tcMar>
              <w:top w:w="85" w:type="dxa"/>
              <w:start w:w="95" w:type="dxa"/>
              <w:bottom w:w="85" w:type="dxa"/>
              <w:end w:w="95" w:type="dxa"/>
            </w:tcMar>
            <w:shd w:fill="EAF3F7"/>
          </w:tcPr>
          <w:p>
            <w:pPr>
              <w:spacing w:after="0" w:line="259" w:lineRule="auto"/>
            </w:pPr>
            <w:r>
              <w:rPr>
                <w:rFonts w:ascii="Calibri" w:hAnsi="Calibri"/>
                <w:b/>
                <w:sz w:val="17"/>
              </w:rPr>
              <w:t>GES 75: trastorno bipolar</w:t>
            </w:r>
          </w:p>
        </w:tc>
        <w:tc>
          <w:tcPr>
            <w:tcW w:type="dxa" w:w="3528"/>
            <w:vAlign w:val="center"/>
            <w:tcMar>
              <w:top w:w="85" w:type="dxa"/>
              <w:start w:w="95" w:type="dxa"/>
              <w:bottom w:w="85" w:type="dxa"/>
              <w:end w:w="95" w:type="dxa"/>
            </w:tcMar>
            <w:shd w:fill="EAF3F7"/>
          </w:tcPr>
          <w:p>
            <w:pPr>
              <w:spacing w:after="0" w:line="259" w:lineRule="auto"/>
            </w:pPr>
            <w:r>
              <w:rPr>
                <w:rFonts w:ascii="Calibri" w:hAnsi="Calibri"/>
                <w:sz w:val="17"/>
              </w:rPr>
              <w:t xml:space="preserve">Personas de </w:t>
            </w:r>
            <w:r>
              <w:rPr>
                <w:rFonts w:ascii="Calibri" w:hAnsi="Calibri"/>
                <w:b/>
                <w:sz w:val="17"/>
              </w:rPr>
              <w:t>15 años o más</w:t>
            </w:r>
            <w:r>
              <w:rPr>
                <w:rFonts w:ascii="Calibri" w:hAnsi="Calibri"/>
                <w:sz w:val="17"/>
              </w:rPr>
              <w:t>, una vez confirmado por especialista.</w:t>
            </w:r>
          </w:p>
        </w:tc>
        <w:tc>
          <w:tcPr>
            <w:tcW w:type="dxa" w:w="3672"/>
            <w:vAlign w:val="center"/>
            <w:tcMar>
              <w:top w:w="85" w:type="dxa"/>
              <w:start w:w="95" w:type="dxa"/>
              <w:bottom w:w="85" w:type="dxa"/>
              <w:end w:w="95" w:type="dxa"/>
            </w:tcMar>
            <w:shd w:fill="EAF3F7"/>
          </w:tcPr>
          <w:p>
            <w:pPr>
              <w:spacing w:after="0" w:line="259" w:lineRule="auto"/>
            </w:pPr>
            <w:r>
              <w:rPr>
                <w:rFonts w:ascii="Calibri" w:hAnsi="Calibri"/>
                <w:sz w:val="17"/>
              </w:rPr>
              <w:t xml:space="preserve">Tratamiento dentro de </w:t>
            </w:r>
            <w:r>
              <w:rPr>
                <w:rFonts w:ascii="Calibri" w:hAnsi="Calibri"/>
                <w:b/>
                <w:sz w:val="17"/>
              </w:rPr>
              <w:t>24 horas desde la confirmación</w:t>
            </w:r>
            <w:r>
              <w:rPr>
                <w:rFonts w:ascii="Calibri" w:hAnsi="Calibri"/>
                <w:sz w:val="17"/>
              </w:rPr>
              <w:t xml:space="preserve">; hospitalización dentro de </w:t>
            </w:r>
            <w:r>
              <w:rPr>
                <w:rFonts w:ascii="Calibri" w:hAnsi="Calibri"/>
                <w:b/>
                <w:sz w:val="17"/>
              </w:rPr>
              <w:t>24 horas desde la indicación médica</w:t>
            </w:r>
            <w:r>
              <w:rPr>
                <w:rFonts w:ascii="Calibri" w:hAnsi="Calibri"/>
                <w:sz w:val="17"/>
              </w:rPr>
              <w:t>. No fija un plazo para confirmar toda sospecha.</w:t>
            </w:r>
          </w:p>
        </w:tc>
      </w:tr>
      <w:tr>
        <w:trPr>
          <w:cantSplit/>
        </w:trPr>
        <w:tc>
          <w:tcPr>
            <w:tcW w:type="dxa" w:w="2088"/>
            <w:vAlign w:val="center"/>
            <w:tcMar>
              <w:top w:w="85" w:type="dxa"/>
              <w:start w:w="95" w:type="dxa"/>
              <w:bottom w:w="85" w:type="dxa"/>
              <w:end w:w="95" w:type="dxa"/>
            </w:tcMar>
            <w:shd w:fill="F7FAFB"/>
          </w:tcPr>
          <w:p>
            <w:pPr>
              <w:spacing w:after="0" w:line="259" w:lineRule="auto"/>
            </w:pPr>
            <w:r>
              <w:rPr>
                <w:rFonts w:ascii="Calibri" w:hAnsi="Calibri"/>
                <w:b/>
                <w:sz w:val="17"/>
              </w:rPr>
              <w:t>GES 85: Alzheimer y otras demencias</w:t>
            </w:r>
          </w:p>
        </w:tc>
        <w:tc>
          <w:tcPr>
            <w:tcW w:type="dxa" w:w="3528"/>
            <w:vAlign w:val="center"/>
            <w:tcMar>
              <w:top w:w="85" w:type="dxa"/>
              <w:start w:w="95" w:type="dxa"/>
              <w:bottom w:w="85" w:type="dxa"/>
              <w:end w:w="95" w:type="dxa"/>
            </w:tcMar>
            <w:shd w:fill="F7FAFB"/>
          </w:tcPr>
          <w:p>
            <w:pPr>
              <w:spacing w:after="0" w:line="259" w:lineRule="auto"/>
            </w:pPr>
            <w:r>
              <w:rPr>
                <w:rFonts w:ascii="Calibri" w:hAnsi="Calibri"/>
                <w:sz w:val="17"/>
              </w:rPr>
              <w:t>Personas de cualquier edad con sospecha acceden a confirmación; las confirmadas, a tratamiento.</w:t>
            </w:r>
          </w:p>
        </w:tc>
        <w:tc>
          <w:tcPr>
            <w:tcW w:type="dxa" w:w="3672"/>
            <w:vAlign w:val="center"/>
            <w:tcMar>
              <w:top w:w="85" w:type="dxa"/>
              <w:start w:w="95" w:type="dxa"/>
              <w:bottom w:w="85" w:type="dxa"/>
              <w:end w:w="95" w:type="dxa"/>
            </w:tcMar>
            <w:shd w:fill="F7FAFB"/>
          </w:tcPr>
          <w:p>
            <w:pPr>
              <w:spacing w:after="0" w:line="259" w:lineRule="auto"/>
            </w:pPr>
            <w:r>
              <w:rPr>
                <w:rFonts w:ascii="Calibri" w:hAnsi="Calibri"/>
                <w:sz w:val="17"/>
              </w:rPr>
              <w:t xml:space="preserve">Confirmación dentro de </w:t>
            </w:r>
            <w:r>
              <w:rPr>
                <w:rFonts w:ascii="Calibri" w:hAnsi="Calibri"/>
                <w:b/>
                <w:sz w:val="17"/>
              </w:rPr>
              <w:t>60 días desde la sospecha</w:t>
            </w:r>
            <w:r>
              <w:rPr>
                <w:rFonts w:ascii="Calibri" w:hAnsi="Calibri"/>
                <w:sz w:val="17"/>
              </w:rPr>
              <w:t xml:space="preserve">; diagnóstico diferencial dentro de </w:t>
            </w:r>
            <w:r>
              <w:rPr>
                <w:rFonts w:ascii="Calibri" w:hAnsi="Calibri"/>
                <w:b/>
                <w:sz w:val="17"/>
              </w:rPr>
              <w:t>180 días desde la indicación médica</w:t>
            </w:r>
            <w:r>
              <w:rPr>
                <w:rFonts w:ascii="Calibri" w:hAnsi="Calibri"/>
                <w:sz w:val="17"/>
              </w:rPr>
              <w:t xml:space="preserve">; tratamiento dentro de </w:t>
            </w:r>
            <w:r>
              <w:rPr>
                <w:rFonts w:ascii="Calibri" w:hAnsi="Calibri"/>
                <w:b/>
                <w:sz w:val="17"/>
              </w:rPr>
              <w:t>60 días desde la confirmación</w:t>
            </w:r>
            <w:r>
              <w:rPr>
                <w:rFonts w:ascii="Calibri" w:hAnsi="Calibri"/>
                <w:sz w:val="17"/>
              </w:rPr>
              <w:t>.</w:t>
            </w:r>
          </w:p>
        </w:tc>
      </w:tr>
      <w:tr>
        <w:trPr>
          <w:cantSplit/>
        </w:trPr>
        <w:tc>
          <w:tcPr>
            <w:tcW w:type="dxa" w:w="2088"/>
            <w:vAlign w:val="center"/>
            <w:tcMar>
              <w:top w:w="85" w:type="dxa"/>
              <w:start w:w="95" w:type="dxa"/>
              <w:bottom w:w="85" w:type="dxa"/>
              <w:end w:w="95" w:type="dxa"/>
            </w:tcMar>
            <w:shd w:fill="EAF3F7"/>
          </w:tcPr>
          <w:p>
            <w:pPr>
              <w:spacing w:after="0" w:line="259" w:lineRule="auto"/>
            </w:pPr>
            <w:r>
              <w:rPr>
                <w:rFonts w:ascii="Calibri" w:hAnsi="Calibri"/>
                <w:b/>
                <w:sz w:val="17"/>
              </w:rPr>
              <w:t>GES 86: agresión sexual aguda</w:t>
            </w:r>
          </w:p>
        </w:tc>
        <w:tc>
          <w:tcPr>
            <w:tcW w:type="dxa" w:w="3528"/>
            <w:vAlign w:val="center"/>
            <w:tcMar>
              <w:top w:w="85" w:type="dxa"/>
              <w:start w:w="95" w:type="dxa"/>
              <w:bottom w:w="85" w:type="dxa"/>
              <w:end w:w="95" w:type="dxa"/>
            </w:tcMar>
            <w:shd w:fill="EAF3F7"/>
          </w:tcPr>
          <w:p>
            <w:pPr>
              <w:spacing w:after="0" w:line="259" w:lineRule="auto"/>
            </w:pPr>
            <w:r>
              <w:rPr>
                <w:rFonts w:ascii="Calibri" w:hAnsi="Calibri"/>
                <w:sz w:val="17"/>
              </w:rPr>
              <w:t xml:space="preserve">Toda persona que solicita atención por agresión sexual reciente, ocurrida dentro de </w:t>
            </w:r>
            <w:r>
              <w:rPr>
                <w:rFonts w:ascii="Calibri" w:hAnsi="Calibri"/>
                <w:b/>
                <w:sz w:val="17"/>
              </w:rPr>
              <w:t>72 horas</w:t>
            </w:r>
            <w:r>
              <w:rPr>
                <w:rFonts w:ascii="Calibri" w:hAnsi="Calibri"/>
                <w:sz w:val="17"/>
              </w:rPr>
              <w:t>, según criterios de garantía.</w:t>
            </w:r>
          </w:p>
        </w:tc>
        <w:tc>
          <w:tcPr>
            <w:tcW w:type="dxa" w:w="3672"/>
            <w:vAlign w:val="center"/>
            <w:tcMar>
              <w:top w:w="85" w:type="dxa"/>
              <w:start w:w="95" w:type="dxa"/>
              <w:bottom w:w="85" w:type="dxa"/>
              <w:end w:w="95" w:type="dxa"/>
            </w:tcMar>
            <w:shd w:fill="EAF3F7"/>
          </w:tcPr>
          <w:p>
            <w:pPr>
              <w:spacing w:after="0" w:line="259" w:lineRule="auto"/>
            </w:pPr>
            <w:r>
              <w:rPr>
                <w:rFonts w:ascii="Calibri" w:hAnsi="Calibri"/>
                <w:sz w:val="17"/>
              </w:rPr>
              <w:t xml:space="preserve">Primera respuesta </w:t>
            </w:r>
            <w:r>
              <w:rPr>
                <w:rFonts w:ascii="Calibri" w:hAnsi="Calibri"/>
                <w:b/>
                <w:sz w:val="17"/>
              </w:rPr>
              <w:t>inmediata</w:t>
            </w:r>
            <w:r>
              <w:rPr>
                <w:rFonts w:ascii="Calibri" w:hAnsi="Calibri"/>
                <w:sz w:val="17"/>
              </w:rPr>
              <w:t xml:space="preserve"> en urgencia hospitalaria; seguimiento dentro de </w:t>
            </w:r>
            <w:r>
              <w:rPr>
                <w:rFonts w:ascii="Calibri" w:hAnsi="Calibri"/>
                <w:b/>
                <w:sz w:val="17"/>
              </w:rPr>
              <w:t>35 días desde la primera respuesta</w:t>
            </w:r>
            <w:r>
              <w:rPr>
                <w:rFonts w:ascii="Calibri" w:hAnsi="Calibri"/>
                <w:sz w:val="17"/>
              </w:rPr>
              <w:t>. No requiere denuncia policial previa.</w:t>
            </w:r>
          </w:p>
        </w:tc>
      </w:tr>
      <w:tr>
        <w:trPr>
          <w:cantSplit/>
        </w:trPr>
        <w:tc>
          <w:tcPr>
            <w:tcW w:type="dxa" w:w="2088"/>
            <w:vAlign w:val="center"/>
            <w:tcMar>
              <w:top w:w="85" w:type="dxa"/>
              <w:start w:w="95" w:type="dxa"/>
              <w:bottom w:w="85" w:type="dxa"/>
              <w:end w:w="95" w:type="dxa"/>
            </w:tcMar>
            <w:shd w:fill="F7FAFB"/>
          </w:tcPr>
          <w:p>
            <w:pPr>
              <w:spacing w:after="0" w:line="259" w:lineRule="auto"/>
            </w:pPr>
            <w:r>
              <w:rPr>
                <w:rFonts w:ascii="Calibri" w:hAnsi="Calibri"/>
                <w:b/>
                <w:sz w:val="17"/>
              </w:rPr>
              <w:t>GES 89: depresión grave en menores de 15 años</w:t>
            </w:r>
          </w:p>
        </w:tc>
        <w:tc>
          <w:tcPr>
            <w:tcW w:type="dxa" w:w="3528"/>
            <w:vAlign w:val="center"/>
            <w:tcMar>
              <w:top w:w="85" w:type="dxa"/>
              <w:start w:w="95" w:type="dxa"/>
              <w:bottom w:w="85" w:type="dxa"/>
              <w:end w:w="95" w:type="dxa"/>
            </w:tcMar>
            <w:shd w:fill="F7FAFB"/>
          </w:tcPr>
          <w:p>
            <w:pPr>
              <w:spacing w:after="0" w:line="259" w:lineRule="auto"/>
            </w:pPr>
            <w:r>
              <w:rPr>
                <w:rFonts w:ascii="Calibri" w:hAnsi="Calibri"/>
                <w:sz w:val="17"/>
              </w:rPr>
              <w:t xml:space="preserve">Menores de </w:t>
            </w:r>
            <w:r>
              <w:rPr>
                <w:rFonts w:ascii="Calibri" w:hAnsi="Calibri"/>
                <w:b/>
                <w:sz w:val="17"/>
              </w:rPr>
              <w:t>15 años</w:t>
            </w:r>
            <w:r>
              <w:rPr>
                <w:rFonts w:ascii="Calibri" w:hAnsi="Calibri"/>
                <w:sz w:val="17"/>
              </w:rPr>
              <w:t xml:space="preserve"> con depresión grave, refractaria o psicótica con riesgo suicida, una vez confirmada.</w:t>
            </w:r>
          </w:p>
        </w:tc>
        <w:tc>
          <w:tcPr>
            <w:tcW w:type="dxa" w:w="3672"/>
            <w:vAlign w:val="center"/>
            <w:tcMar>
              <w:top w:w="85" w:type="dxa"/>
              <w:start w:w="95" w:type="dxa"/>
              <w:bottom w:w="85" w:type="dxa"/>
              <w:end w:w="95" w:type="dxa"/>
            </w:tcMar>
            <w:shd w:fill="F7FAFB"/>
          </w:tcPr>
          <w:p>
            <w:pPr>
              <w:spacing w:after="0" w:line="259" w:lineRule="auto"/>
            </w:pPr>
            <w:r>
              <w:rPr>
                <w:rFonts w:ascii="Calibri" w:hAnsi="Calibri"/>
                <w:sz w:val="17"/>
              </w:rPr>
              <w:t xml:space="preserve">Tratamiento inmediato desde la confirmación y consulta con especialista dentro de </w:t>
            </w:r>
            <w:r>
              <w:rPr>
                <w:rFonts w:ascii="Calibri" w:hAnsi="Calibri"/>
                <w:b/>
                <w:sz w:val="17"/>
              </w:rPr>
              <w:t>30 días desde la derivación</w:t>
            </w:r>
            <w:r>
              <w:rPr>
                <w:rFonts w:ascii="Calibri" w:hAnsi="Calibri"/>
                <w:sz w:val="17"/>
              </w:rPr>
              <w:t>. La hospitalización depende de la indicación clínica; no es la garantía universal para todos los casos.</w:t>
            </w:r>
          </w:p>
        </w:tc>
      </w:tr>
      <w:tr>
        <w:trPr>
          <w:cantSplit/>
        </w:trPr>
        <w:tc>
          <w:tcPr>
            <w:tcW w:type="dxa" w:w="2088"/>
            <w:vAlign w:val="center"/>
            <w:tcMar>
              <w:top w:w="85" w:type="dxa"/>
              <w:start w:w="95" w:type="dxa"/>
              <w:bottom w:w="85" w:type="dxa"/>
              <w:end w:w="95" w:type="dxa"/>
            </w:tcMar>
            <w:shd w:fill="EAF3F7"/>
          </w:tcPr>
          <w:p>
            <w:pPr>
              <w:spacing w:after="0" w:line="259" w:lineRule="auto"/>
            </w:pPr>
            <w:r>
              <w:rPr>
                <w:rFonts w:ascii="Calibri" w:hAnsi="Calibri"/>
                <w:b/>
                <w:sz w:val="17"/>
              </w:rPr>
              <w:t>GES 90: cesación tabáquica</w:t>
            </w:r>
          </w:p>
        </w:tc>
        <w:tc>
          <w:tcPr>
            <w:tcW w:type="dxa" w:w="3528"/>
            <w:vAlign w:val="center"/>
            <w:tcMar>
              <w:top w:w="85" w:type="dxa"/>
              <w:start w:w="95" w:type="dxa"/>
              <w:bottom w:w="85" w:type="dxa"/>
              <w:end w:w="95" w:type="dxa"/>
            </w:tcMar>
            <w:shd w:fill="EAF3F7"/>
          </w:tcPr>
          <w:p>
            <w:pPr>
              <w:spacing w:after="0" w:line="259" w:lineRule="auto"/>
            </w:pPr>
            <w:r>
              <w:rPr>
                <w:rFonts w:ascii="Calibri" w:hAnsi="Calibri"/>
                <w:sz w:val="17"/>
              </w:rPr>
              <w:t xml:space="preserve">Personas de </w:t>
            </w:r>
            <w:r>
              <w:rPr>
                <w:rFonts w:ascii="Calibri" w:hAnsi="Calibri"/>
                <w:b/>
                <w:sz w:val="17"/>
              </w:rPr>
              <w:t>25 años o más</w:t>
            </w:r>
            <w:r>
              <w:rPr>
                <w:rFonts w:ascii="Calibri" w:hAnsi="Calibri"/>
                <w:sz w:val="17"/>
              </w:rPr>
              <w:t>, con alta dependencia, en etapa de preparación o acción y diagnóstico confirmado.</w:t>
            </w:r>
          </w:p>
        </w:tc>
        <w:tc>
          <w:tcPr>
            <w:tcW w:type="dxa" w:w="3672"/>
            <w:vAlign w:val="center"/>
            <w:tcMar>
              <w:top w:w="85" w:type="dxa"/>
              <w:start w:w="95" w:type="dxa"/>
              <w:bottom w:w="85" w:type="dxa"/>
              <w:end w:w="95" w:type="dxa"/>
            </w:tcMar>
            <w:shd w:fill="EAF3F7"/>
          </w:tcPr>
          <w:p>
            <w:pPr>
              <w:spacing w:after="0" w:line="259" w:lineRule="auto"/>
            </w:pPr>
            <w:r>
              <w:rPr>
                <w:rFonts w:ascii="Calibri" w:hAnsi="Calibri"/>
                <w:sz w:val="17"/>
              </w:rPr>
              <w:t xml:space="preserve">Tratamiento farmacológico dentro de </w:t>
            </w:r>
            <w:r>
              <w:rPr>
                <w:rFonts w:ascii="Calibri" w:hAnsi="Calibri"/>
                <w:b/>
                <w:sz w:val="17"/>
              </w:rPr>
              <w:t>30 días desde la confirmación</w:t>
            </w:r>
            <w:r>
              <w:rPr>
                <w:rFonts w:ascii="Calibri" w:hAnsi="Calibri"/>
                <w:sz w:val="17"/>
              </w:rPr>
              <w:t>.</w:t>
            </w:r>
          </w:p>
        </w:tc>
      </w:tr>
    </w:tbl>
    <w:p>
      <w:pPr>
        <w:spacing w:after="0"/>
      </w:pPr>
    </w:p>
    <w:p>
      <w:r>
        <w:rPr>
          <w:b/>
        </w:rPr>
        <w:t>Control de versión:</w:t>
      </w:r>
      <w:r>
        <w:t xml:space="preserve"> tabla verificada con el portal oficial y la normativa disponible al </w:t>
      </w:r>
      <w:r>
        <w:rPr>
          <w:b/>
        </w:rPr>
        <w:t>15 de agosto de 2026</w:t>
      </w:r>
      <w:r>
        <w:t>. Estos datos deben comprobarse nuevamente cuando se usan asistencialmente. Los copagos, canastas, normas técnicas y rutas de red pueden cambiar y no conviene memorizarlos desde material desactualizado.</w:t>
      </w:r>
    </w:p>
    <w:p>
      <w:pPr>
        <w:pStyle w:val="Heading1"/>
      </w:pPr>
      <w:r>
        <w:t>5. Activar la garantía sin abandonar la clínica</w:t>
      </w:r>
    </w:p>
    <w:p>
      <w:r>
        <w:t>En FONASA, la puerta habitual es APS o el establecimiento asignado; en urgencia vital se acude al servicio más cercano. En ISAPRE, se informa diagnóstico o sospecha según corresponda y la aseguradora designa red. Verifique la ruta local. El Formulario de Constancia GES registra la información entregada; se completa, firma y respalda según procedimiento.</w:t>
      </w:r>
    </w:p>
    <w:p>
      <w:r>
        <w:t>Registre el hito correcto: sospecha de esquizofrenia derivada no equivale a bipolaridad confirmada por especialista. Explique red y plazos. Si el estado exige una respuesta más rápida, prima la urgencia: Diego necesita evaluación inmediata aunque se notifique GES 15 en paralelo.</w:t>
      </w:r>
    </w:p>
    <w:p>
      <w:pPr>
        <w:pStyle w:val="Heading1"/>
      </w:pPr>
      <w:r>
        <w:t>6. Derivación, plan puente y cierre del circuito</w:t>
      </w:r>
    </w:p>
    <w:p>
      <w:r>
        <w:t>Una derivación útil contiene motivo y nivel solicitado, síndrome e hipótesis, curso, funcionamiento y riesgo; causas médicas o sustancias consideradas; tratamientos con dosis, adherencia, respuesta y reacciones adversas; examen mental y físico; exámenes realizados y pendientes; capacidad, preferencias y red de apoyo; situación GES; y un plan mientras espera. Incluya criterios de escalamiento y un contacto responsable.</w:t>
      </w:r>
    </w:p>
    <w:p>
      <w:r>
        <w:t>El plan puente puede incluir intervención inicial segura, medicación acotada, restricción de medios letales, control próximo, apoyo consentido y acceso a urgencia. Verifique recepción y que el paciente comprenda cuándo consultar. La responsabilidad cambia con un traspaso efectivo, no al imprimir la interconsulta.</w:t>
      </w:r>
    </w:p>
    <w:p>
      <w:r>
        <w:t>La formulación final puede expresarse en una frase: síndrome y diagnóstico de trabajo; factores predisponentes, precipitantes y perpetuantes; fortalezas; nivel de riesgo; causas pendientes; plan clínico, legal y de seguimiento. Esa síntesis muestra la competencia buscada: comprender qué ocurre, detectar lo que no puede esperar, iniciar lo útil, evitar daño y asegurar el siguiente nivel de cuidado.</w:t>
      </w:r>
    </w:p>
    <w:p>
      <w:pPr>
        <w:pStyle w:val="Heading1"/>
      </w:pPr>
      <w:r>
        <w:t>Errores frecuentes</w:t>
      </w:r>
    </w:p>
    <w:p>
      <w:pPr>
        <w:pStyle w:val="ListBullet"/>
      </w:pPr>
      <w:r>
        <w:t>Tratar GES 15 como una edad o prometer confirmación de esquizofrenia en 20 días.</w:t>
      </w:r>
    </w:p>
    <w:p>
      <w:pPr>
        <w:pStyle w:val="ListBullet"/>
      </w:pPr>
      <w:r>
        <w:t>Trasladar a esquizofrenia el plazo de hospitalización de GES 75.</w:t>
      </w:r>
    </w:p>
    <w:p>
      <w:pPr>
        <w:pStyle w:val="ListBullet"/>
      </w:pPr>
      <w:r>
        <w:t>Presentar GES 89 como cobertura de toda depresión infantil.</w:t>
      </w:r>
    </w:p>
    <w:p>
      <w:pPr>
        <w:pStyle w:val="ListBullet"/>
      </w:pPr>
      <w:r>
        <w:t>Confundir una prestación financiada con una indicación obligatoria.</w:t>
      </w:r>
    </w:p>
    <w:p>
      <w:pPr>
        <w:pStyle w:val="ListBullet"/>
      </w:pPr>
      <w:r>
        <w:t>Derivar sin plan puente, responsable ni criterios de urgencia.</w:t>
      </w:r>
    </w:p>
    <w:p>
      <w:pPr>
        <w:pStyle w:val="ListBullet"/>
      </w:pPr>
      <w:r>
        <w:t>Atribuir agitación o confusión a “psiquiatría” sin buscar causas médicas.</w:t>
      </w:r>
    </w:p>
    <w:p>
      <w:pPr>
        <w:pStyle w:val="ListBullet"/>
      </w:pPr>
      <w:r>
        <w:t>Esperar un plazo administrativo ante una urgencia clínica.</w:t>
      </w:r>
    </w:p>
    <w:p>
      <w:pPr>
        <w:pStyle w:val="Heading1"/>
      </w:pPr>
      <w:r>
        <w:t>Para recordar</w:t>
      </w:r>
    </w:p>
    <w:p>
      <w:pPr>
        <w:spacing w:after="60" w:line="288" w:lineRule="auto"/>
        <w:ind w:left="432" w:hanging="216"/>
        <w:shd w:fill="EAF6F3"/>
        <w:keepNext/>
        <w:keepLines/>
        <w:pBdr>
          <w:left w:val="single" w:sz="8" w:space="8" w:color="2A8C82"/>
        </w:pBdr>
      </w:pPr>
      <w:r>
        <w:t>1. Ante toda consulta: descarte urgencia, formule síndrome y causas, inicie lo seguro, elija nivel y asegure deberes sistémicos.</w:t>
      </w:r>
    </w:p>
    <w:p>
      <w:pPr>
        <w:spacing w:after="60" w:line="288" w:lineRule="auto"/>
        <w:ind w:left="432" w:hanging="216"/>
        <w:shd w:fill="EAF6F3"/>
        <w:keepNext/>
        <w:keepLines/>
        <w:pBdr>
          <w:left w:val="single" w:sz="8" w:space="8" w:color="2A8C82"/>
        </w:pBdr>
      </w:pPr>
      <w:r>
        <w:t>2. El nivel de atención depende de riesgo, complejidad, función, soporte y capacidad local.</w:t>
      </w:r>
    </w:p>
    <w:p>
      <w:pPr>
        <w:spacing w:after="60" w:line="288" w:lineRule="auto"/>
        <w:ind w:left="432" w:hanging="216"/>
        <w:shd w:fill="EAF6F3"/>
        <w:keepNext/>
        <w:keepLines/>
        <w:pBdr>
          <w:left w:val="single" w:sz="8" w:space="8" w:color="2A8C82"/>
        </w:pBdr>
      </w:pPr>
      <w:r>
        <w:t>3. GES garantiza acceso y oportunidad; no reemplaza juicio clínico ni guía terapéutica.</w:t>
      </w:r>
    </w:p>
    <w:p>
      <w:pPr>
        <w:spacing w:after="60" w:line="288" w:lineRule="auto"/>
        <w:ind w:left="432" w:hanging="216"/>
        <w:shd w:fill="EAF6F3"/>
        <w:keepNext/>
        <w:keepLines/>
        <w:pBdr>
          <w:left w:val="single" w:sz="8" w:space="8" w:color="2A8C82"/>
        </w:pBdr>
      </w:pPr>
      <w:r>
        <w:t>4. Derivar no es abandonar: se necesita plan puente hasta el traspaso efectivo.</w:t>
      </w:r>
    </w:p>
    <w:p>
      <w:pPr>
        <w:spacing w:after="60" w:line="288" w:lineRule="auto"/>
        <w:ind w:left="432" w:hanging="216"/>
        <w:shd w:fill="EAF6F3"/>
        <w:keepLines/>
        <w:pBdr>
          <w:left w:val="single" w:sz="8" w:space="8" w:color="2A8C82"/>
        </w:pBdr>
      </w:pPr>
      <w:r>
        <w:t>5. Una conducta excelente integra clínica, derechos, documentación y continuidad.</w:t>
      </w:r>
    </w:p>
    <w:p>
      <w:pPr>
        <w:pStyle w:val="Heading1"/>
      </w:pPr>
      <w:r>
        <w:t>Bibliografía esencial</w:t>
      </w:r>
    </w:p>
    <w:p>
      <w:pPr>
        <w:pStyle w:val="Bibliography"/>
      </w:pPr>
      <w:r>
        <w:t xml:space="preserve">• Ministerio de Salud de Chile. </w:t>
      </w:r>
      <w:r>
        <w:rPr>
          <w:i/>
        </w:rPr>
        <w:t>Portal AUGE/GES: problemas de salud y garantías vigentes</w:t>
      </w:r>
      <w:r>
        <w:t xml:space="preserve">. </w:t>
      </w:r>
      <w:hyperlink r:id="rId147">
        <w:r>
          <w:rPr>
            <w:color w:val="246B8E"/>
            <w:u w:val="single"/>
          </w:rPr>
          <w:t>Portal oficial</w:t>
        </w:r>
      </w:hyperlink>
      <w:r>
        <w:t>.</w:t>
      </w:r>
    </w:p>
    <w:p>
      <w:pPr>
        <w:pStyle w:val="Bibliography"/>
      </w:pPr>
      <w:r>
        <w:t xml:space="preserve">• Ministerio de Salud de Chile. </w:t>
      </w:r>
      <w:r>
        <w:rPr>
          <w:i/>
        </w:rPr>
        <w:t>GES 15, 34, 53 y 75</w:t>
      </w:r>
      <w:r>
        <w:t xml:space="preserve">. </w:t>
      </w:r>
      <w:hyperlink r:id="rId59">
        <w:r>
          <w:rPr>
            <w:color w:val="246B8E"/>
            <w:u w:val="single"/>
          </w:rPr>
          <w:t>15</w:t>
        </w:r>
      </w:hyperlink>
      <w:r>
        <w:t xml:space="preserve"> · </w:t>
      </w:r>
      <w:hyperlink r:id="rId29">
        <w:r>
          <w:rPr>
            <w:color w:val="246B8E"/>
            <w:u w:val="single"/>
          </w:rPr>
          <w:t>34</w:t>
        </w:r>
      </w:hyperlink>
      <w:r>
        <w:t xml:space="preserve"> · </w:t>
      </w:r>
      <w:hyperlink r:id="rId87">
        <w:r>
          <w:rPr>
            <w:color w:val="246B8E"/>
            <w:u w:val="single"/>
          </w:rPr>
          <w:t>53</w:t>
        </w:r>
      </w:hyperlink>
      <w:r>
        <w:t xml:space="preserve"> · </w:t>
      </w:r>
      <w:hyperlink r:id="rId54">
        <w:r>
          <w:rPr>
            <w:color w:val="246B8E"/>
            <w:u w:val="single"/>
          </w:rPr>
          <w:t>75</w:t>
        </w:r>
      </w:hyperlink>
      <w:r>
        <w:t>.</w:t>
      </w:r>
    </w:p>
    <w:p>
      <w:pPr>
        <w:pStyle w:val="Bibliography"/>
      </w:pPr>
      <w:r>
        <w:t xml:space="preserve">• Ministerio de Salud de Chile. </w:t>
      </w:r>
      <w:r>
        <w:rPr>
          <w:i/>
        </w:rPr>
        <w:t>GES 85, 86, 89 y 90</w:t>
      </w:r>
      <w:r>
        <w:t xml:space="preserve">. </w:t>
      </w:r>
      <w:hyperlink r:id="rId123">
        <w:r>
          <w:rPr>
            <w:color w:val="246B8E"/>
            <w:u w:val="single"/>
          </w:rPr>
          <w:t>85</w:t>
        </w:r>
      </w:hyperlink>
      <w:r>
        <w:t xml:space="preserve"> · </w:t>
      </w:r>
      <w:hyperlink r:id="rId84">
        <w:r>
          <w:rPr>
            <w:color w:val="246B8E"/>
            <w:u w:val="single"/>
          </w:rPr>
          <w:t>86</w:t>
        </w:r>
      </w:hyperlink>
      <w:r>
        <w:t xml:space="preserve"> · </w:t>
      </w:r>
      <w:hyperlink r:id="rId138">
        <w:r>
          <w:rPr>
            <w:color w:val="246B8E"/>
            <w:u w:val="single"/>
          </w:rPr>
          <w:t>89</w:t>
        </w:r>
      </w:hyperlink>
      <w:r>
        <w:t xml:space="preserve"> · </w:t>
      </w:r>
      <w:hyperlink r:id="rId104">
        <w:r>
          <w:rPr>
            <w:color w:val="246B8E"/>
            <w:u w:val="single"/>
          </w:rPr>
          <w:t>90</w:t>
        </w:r>
      </w:hyperlink>
      <w:r>
        <w:t>.</w:t>
      </w:r>
    </w:p>
    <w:p>
      <w:pPr>
        <w:pStyle w:val="Bibliography"/>
      </w:pPr>
      <w:r>
        <w:t xml:space="preserve">• Ministerio de Salud y Superintendencia de Salud. </w:t>
      </w:r>
      <w:r>
        <w:rPr>
          <w:i/>
        </w:rPr>
        <w:t>Acceso y notificación GES</w:t>
      </w:r>
      <w:r>
        <w:t xml:space="preserve">. </w:t>
      </w:r>
      <w:hyperlink r:id="rId148">
        <w:r>
          <w:rPr>
            <w:color w:val="246B8E"/>
            <w:u w:val="single"/>
          </w:rPr>
          <w:t>Cómo acceder</w:t>
        </w:r>
      </w:hyperlink>
      <w:r>
        <w:t xml:space="preserve"> · </w:t>
      </w:r>
      <w:hyperlink r:id="rId149">
        <w:r>
          <w:rPr>
            <w:color w:val="246B8E"/>
            <w:u w:val="single"/>
          </w:rPr>
          <w:t>Formulario de constancia</w:t>
        </w:r>
      </w:hyperlink>
      <w:r>
        <w:t>.</w:t>
      </w:r>
    </w:p>
    <w:p>
      <w:pPr>
        <w:pStyle w:val="Bibliography"/>
      </w:pPr>
      <w:r>
        <w:t xml:space="preserve">• Ministerio de Salud de Chile. </w:t>
      </w:r>
      <w:r>
        <w:rPr>
          <w:i/>
        </w:rPr>
        <w:t>Plan Nacional de Salud Mental 2017–2025</w:t>
      </w:r>
      <w:r>
        <w:t xml:space="preserve">. Santiago: MINSAL; 2017, antecedente histórico cuyo período programático concluyó. </w:t>
      </w:r>
      <w:hyperlink r:id="rId150">
        <w:r>
          <w:rPr>
            <w:color w:val="246B8E"/>
            <w:u w:val="single"/>
          </w:rPr>
          <w:t>Repositorio</w:t>
        </w:r>
      </w:hyperlink>
      <w:r>
        <w:t>.</w:t>
      </w:r>
    </w:p>
    <w:p>
      <w:pPr>
        <w:pStyle w:val="Bibliography"/>
      </w:pPr>
      <w:r>
        <w:t xml:space="preserve">• Ministerio de Salud de Chile. Decreto Supremo N.º 9 de 2024, Reglamento sobre hospitalización psiquiátrica, vigente desde el 2 de diciembre de 2025. </w:t>
      </w:r>
      <w:hyperlink r:id="rId141">
        <w:r>
          <w:rPr>
            <w:color w:val="246B8E"/>
            <w:u w:val="single"/>
          </w:rPr>
          <w:t>Texto oficial</w:t>
        </w:r>
      </w:hyperlink>
      <w:r>
        <w:t>.</w:t>
      </w:r>
    </w:p>
    <w:sectPr>
      <w:headerReference w:type="default" r:id="rId9"/>
      <w:footerReference w:type="default" r:id="rId10"/>
      <w:pgSz w:w="12240" w:h="15840"/>
      <w:pgMar w:top="1181" w:right="1296" w:bottom="1123" w:left="1296" w:header="490" w:footer="49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after="0"/>
      <w:jc w:val="right"/>
    </w:pPr>
    <w:r>
      <w:rPr>
        <w:rFonts w:ascii="Calibri" w:hAnsi="Calibri"/>
        <w:color w:val="6B7280"/>
        <w:sz w:val="16"/>
      </w:rPr>
      <w:t xml:space="preserve">Material docente · Chile · 2026   |   </w:t>
    </w:r>
    <w:r>
      <w:fldChar w:fldCharType="begin"/>
      <w:instrText xml:space="preserve"> PAGE </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left"/>
      <w:pBdr>
        <w:bottom w:val="single" w:sz="8" w:space="4" w:color="2A8C82"/>
      </w:pBdr>
    </w:pPr>
    <w:r>
      <w:rPr>
        <w:rFonts w:ascii="Calibri" w:hAnsi="Calibri"/>
        <w:b/>
        <w:color w:val="2A8C82"/>
        <w:sz w:val="16"/>
      </w:rPr>
      <w:t>PSIQUIATRÍA PARA INTERNOS  ·  COMPENDIO DE 50 CAPÍTULOS</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updateFields w:val="tru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widowControl/>
      <w:spacing w:after="120" w:line="307" w:lineRule="auto"/>
    </w:pPr>
    <w:rPr>
      <w:rFonts w:ascii="Calibri" w:hAnsi="Calibri"/>
      <w:color w:val="202A33"/>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widowControl/>
      <w:spacing w:before="360" w:after="180"/>
      <w:outlineLvl w:val="0"/>
    </w:pPr>
    <w:rPr>
      <w:rFonts w:asciiTheme="majorHAnsi" w:eastAsiaTheme="majorEastAsia" w:hAnsiTheme="majorHAnsi" w:cstheme="majorBidi" w:ascii="Calibri" w:hAnsi="Calibri"/>
      <w:b/>
      <w:bCs/>
      <w:color w:val="173A5E"/>
      <w:sz w:val="32"/>
      <w:szCs w:val="28"/>
    </w:rPr>
  </w:style>
  <w:style w:type="paragraph" w:styleId="Heading2">
    <w:name w:val="heading 2"/>
    <w:basedOn w:val="Normal"/>
    <w:next w:val="Normal"/>
    <w:link w:val="Heading2Char"/>
    <w:uiPriority w:val="9"/>
    <w:unhideWhenUsed/>
    <w:qFormat/>
    <w:rsid w:val="00FC693F"/>
    <w:pPr>
      <w:keepNext/>
      <w:keepLines/>
      <w:widowControl/>
      <w:spacing w:before="300" w:after="140"/>
      <w:outlineLvl w:val="1"/>
    </w:pPr>
    <w:rPr>
      <w:rFonts w:asciiTheme="majorHAnsi" w:eastAsiaTheme="majorEastAsia" w:hAnsiTheme="majorHAnsi" w:cstheme="majorBidi" w:ascii="Calibri" w:hAnsi="Calibri"/>
      <w:b/>
      <w:bCs/>
      <w:color w:val="246B8E"/>
      <w:sz w:val="26"/>
      <w:szCs w:val="26"/>
    </w:rPr>
  </w:style>
  <w:style w:type="paragraph" w:styleId="Heading3">
    <w:name w:val="heading 3"/>
    <w:basedOn w:val="Normal"/>
    <w:next w:val="Normal"/>
    <w:link w:val="Heading3Char"/>
    <w:uiPriority w:val="9"/>
    <w:unhideWhenUsed/>
    <w:qFormat/>
    <w:rsid w:val="00FC693F"/>
    <w:pPr>
      <w:keepNext/>
      <w:keepLines/>
      <w:widowControl/>
      <w:spacing w:before="220" w:after="100"/>
      <w:outlineLvl w:val="2"/>
    </w:pPr>
    <w:rPr>
      <w:rFonts w:asciiTheme="majorHAnsi" w:eastAsiaTheme="majorEastAsia" w:hAnsiTheme="majorHAnsi" w:cstheme="majorBidi" w:ascii="Calibri" w:hAnsi="Calibri"/>
      <w:b/>
      <w:bCs/>
      <w:color w:val="2A8C82"/>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widowControl/>
      <w:pBdr>
        <w:bottom w:val="single" w:sz="8" w:space="4" w:color="4F81BD" w:themeColor="accent1"/>
      </w:pBdr>
      <w:spacing w:after="200" w:line="240" w:lineRule="auto" w:before="0"/>
      <w:contextualSpacing/>
    </w:pPr>
    <w:rPr>
      <w:rFonts w:asciiTheme="majorHAnsi" w:eastAsiaTheme="majorEastAsia" w:hAnsiTheme="majorHAnsi" w:cstheme="majorBidi" w:ascii="Calibri" w:hAnsi="Calibri"/>
      <w:b/>
      <w:color w:val="173A5E"/>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keepNext/>
      <w:widowControl/>
      <w:numPr>
        <w:ilvl w:val="1"/>
      </w:numPr>
      <w:spacing w:before="0" w:after="160"/>
    </w:pPr>
    <w:rPr>
      <w:rFonts w:asciiTheme="majorHAnsi" w:eastAsiaTheme="majorEastAsia" w:hAnsiTheme="majorHAnsi" w:cstheme="majorBidi" w:ascii="Calibri" w:hAnsi="Calibri"/>
      <w:b w:val="0"/>
      <w:i/>
      <w:iCs/>
      <w:color w:val="6B7280"/>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60" w:line="288" w:lineRule="auto"/>
      <w:ind w:left="432" w:hanging="216"/>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spacing w:after="60" w:line="288" w:lineRule="auto"/>
      <w:ind w:left="432" w:hanging="216"/>
      <w:contextualSpacing/>
    </w:pPr>
    <w:rPr>
      <w:rFonts w:ascii="Calibri" w:hAnsi="Calibri"/>
      <w:sz w:val="22"/>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Bibliography">
    <w:name w:val="Bibliography"/>
    <w:pPr>
      <w:spacing w:after="80" w:line="269" w:lineRule="auto"/>
      <w:ind w:left="259" w:hanging="259"/>
    </w:pPr>
    <w:rPr>
      <w:rFonts w:ascii="Calibri" w:hAnsi="Calibri"/>
      <w:color w:val="6B7280"/>
      <w:sz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yperlink" Target="https://www.bcn.cl/leychile/navegar?idNorma=1039348" TargetMode="External"/><Relationship Id="rId12" Type="http://schemas.openxmlformats.org/officeDocument/2006/relationships/hyperlink" Target="https://www.bcn.cl/leychile/navegar?idNorma=1159383" TargetMode="External"/><Relationship Id="rId13" Type="http://schemas.openxmlformats.org/officeDocument/2006/relationships/hyperlink" Target="https://doi.org/10.1176/appi.ajp.2015.1720501" TargetMode="External"/><Relationship Id="rId14" Type="http://schemas.openxmlformats.org/officeDocument/2006/relationships/hyperlink" Target="https://www.who.int/publications/b/68103" TargetMode="External"/><Relationship Id="rId15" Type="http://schemas.openxmlformats.org/officeDocument/2006/relationships/hyperlink" Target="https://www.who.int/publications/i/item/9789240025707" TargetMode="External"/><Relationship Id="rId16" Type="http://schemas.openxmlformats.org/officeDocument/2006/relationships/hyperlink" Target="https://doi.org/10.1111/j.1532-5415.2005.53221.x" TargetMode="External"/><Relationship Id="rId17" Type="http://schemas.openxmlformats.org/officeDocument/2006/relationships/hyperlink" Target="https://mocacognition.com/faq/" TargetMode="External"/><Relationship Id="rId18" Type="http://schemas.openxmlformats.org/officeDocument/2006/relationships/hyperlink" Target="https://doi.org/10.1056/NEJMcp1605501" TargetMode="External"/><Relationship Id="rId19" Type="http://schemas.openxmlformats.org/officeDocument/2006/relationships/hyperlink" Target="https://www.nice.org.uk/guidance/cg103/chapter/Recommendations" TargetMode="External"/><Relationship Id="rId20" Type="http://schemas.openxmlformats.org/officeDocument/2006/relationships/hyperlink" Target="https://doi.org/10.1056/NEJMcp074045" TargetMode="External"/><Relationship Id="rId21" Type="http://schemas.openxmlformats.org/officeDocument/2006/relationships/hyperlink" Target="https://doi.org/10.5811/westjem.2017.3.32259" TargetMode="External"/><Relationship Id="rId22" Type="http://schemas.openxmlformats.org/officeDocument/2006/relationships/hyperlink" Target="https://doi.org/10.1016/j.annemergmed.2017.01.036" TargetMode="External"/><Relationship Id="rId23" Type="http://schemas.openxmlformats.org/officeDocument/2006/relationships/hyperlink" Target="https://doi.org/10.1016/S2215-0366(19)30290-1" TargetMode="External"/><Relationship Id="rId24" Type="http://schemas.openxmlformats.org/officeDocument/2006/relationships/hyperlink" Target="https://www.asam.org/quality-care/clinical-guidelines/drug-testing" TargetMode="External"/><Relationship Id="rId25" Type="http://schemas.openxmlformats.org/officeDocument/2006/relationships/hyperlink" Target="https://www.nice.org.uk/guidance/ng225/chapter/recommendations" TargetMode="External"/><Relationship Id="rId26" Type="http://schemas.openxmlformats.org/officeDocument/2006/relationships/hyperlink" Target="https://www.healthquality.va.gov/guidelines/mh/srb/" TargetMode="External"/><Relationship Id="rId27" Type="http://schemas.openxmlformats.org/officeDocument/2006/relationships/hyperlink" Target="https://doi.org/10.1111/sltb.12218" TargetMode="External"/><Relationship Id="rId28" Type="http://schemas.openxmlformats.org/officeDocument/2006/relationships/hyperlink" Target="https://doi.org/10.1016/j.cbpra.2011.01.001" TargetMode="External"/><Relationship Id="rId29" Type="http://schemas.openxmlformats.org/officeDocument/2006/relationships/hyperlink" Target="https://auge.minsal.cl/problemasdesalud/index/34" TargetMode="External"/><Relationship Id="rId30" Type="http://schemas.openxmlformats.org/officeDocument/2006/relationships/hyperlink" Target="https://www.superdesalud.gob.cl/orientacion-en-salud/depresion-en-personas-de-15-anos-y-mas/" TargetMode="External"/><Relationship Id="rId31" Type="http://schemas.openxmlformats.org/officeDocument/2006/relationships/hyperlink" Target="https://www.nice.org.uk/guidance/ng222" TargetMode="External"/><Relationship Id="rId32" Type="http://schemas.openxmlformats.org/officeDocument/2006/relationships/hyperlink" Target="https://www.healthquality.va.gov/guidelines/MH/mdd/" TargetMode="External"/><Relationship Id="rId33" Type="http://schemas.openxmlformats.org/officeDocument/2006/relationships/hyperlink" Target="https://doi.org/10.1046/j.1525-1497.2001.016009606.x" TargetMode="External"/><Relationship Id="rId34" Type="http://schemas.openxmlformats.org/officeDocument/2006/relationships/hyperlink" Target="https://www.nice.org.uk/guidance/ng222/chapter/Recommendations" TargetMode="External"/><Relationship Id="rId35" Type="http://schemas.openxmlformats.org/officeDocument/2006/relationships/hyperlink" Target="https://www.who.int/publications/i/item/9789241549790" TargetMode="External"/><Relationship Id="rId36" Type="http://schemas.openxmlformats.org/officeDocument/2006/relationships/hyperlink" Target="https://www.nice.org.uk/guidance/ng215" TargetMode="External"/><Relationship Id="rId37" Type="http://schemas.openxmlformats.org/officeDocument/2006/relationships/hyperlink" Target="https://dailymed.nlm.nih.gov/dailymed/drugInfo.cfm?setid=653cf774-2996-4bc2-b88f-8b4b0eb2e08c" TargetMode="External"/><Relationship Id="rId38" Type="http://schemas.openxmlformats.org/officeDocument/2006/relationships/hyperlink" Target="https://www.nice.org.uk/guidance/ng222/resources/january-2026-exceptional-surveillance-of-depression-in-adults-treatment-and-management-nice-guideline-ng222-15604053806" TargetMode="External"/><Relationship Id="rId39" Type="http://schemas.openxmlformats.org/officeDocument/2006/relationships/hyperlink" Target="https://diprece.minsal.cl/wp-content/uploads/2025/10/2025.10.01_NORMA-TECNICA-TERAPIA-ELECTROCONVULSIVA.pdf" TargetMode="External"/><Relationship Id="rId40" Type="http://schemas.openxmlformats.org/officeDocument/2006/relationships/hyperlink" Target="https://www.nice.org.uk/guidance/ipg542" TargetMode="External"/><Relationship Id="rId41" Type="http://schemas.openxmlformats.org/officeDocument/2006/relationships/hyperlink" Target="https://www.healthquality.va.gov/guidelines/MH/srb/" TargetMode="External"/><Relationship Id="rId42" Type="http://schemas.openxmlformats.org/officeDocument/2006/relationships/hyperlink" Target="https://www.who.int/publications/i/item/9789240026629" TargetMode="External"/><Relationship Id="rId43" Type="http://schemas.openxmlformats.org/officeDocument/2006/relationships/hyperlink" Target="https://diprece.minsal.cl/wp-content/uploads/2024/04/Recomendaciones-para-la-Actualizacion-del-Programa-Nacional-de-Prevencion-del-Suicidio_v3.pdf" TargetMode="External"/><Relationship Id="rId44" Type="http://schemas.openxmlformats.org/officeDocument/2006/relationships/hyperlink" Target="https://www.minsal.cl/linea-de-atencion-4141-no-estas-solo-no-estas-sola/" TargetMode="External"/><Relationship Id="rId45" Type="http://schemas.openxmlformats.org/officeDocument/2006/relationships/hyperlink" Target="https://psychiatryonline.org/doi/10.1176/appi.ajp.24181010" TargetMode="External"/><Relationship Id="rId46" Type="http://schemas.openxmlformats.org/officeDocument/2006/relationships/hyperlink" Target="https://www.nice.org.uk/guidance/ng116/chapter/recommendations" TargetMode="External"/><Relationship Id="rId47" Type="http://schemas.openxmlformats.org/officeDocument/2006/relationships/hyperlink" Target="https://www.nice.org.uk/guidance/ng225" TargetMode="External"/><Relationship Id="rId48" Type="http://schemas.openxmlformats.org/officeDocument/2006/relationships/hyperlink" Target="https://www.nice.org.uk/guidance/cg31/chapter/Recommendations" TargetMode="External"/><Relationship Id="rId49" Type="http://schemas.openxmlformats.org/officeDocument/2006/relationships/hyperlink" Target="https://doi.org/10.1176/appi.books.9780890425787" TargetMode="External"/><Relationship Id="rId50" Type="http://schemas.openxmlformats.org/officeDocument/2006/relationships/hyperlink" Target="https://www.nice.org.uk/guidance/cg185/chapter/recommendations" TargetMode="External"/><Relationship Id="rId51" Type="http://schemas.openxmlformats.org/officeDocument/2006/relationships/hyperlink" Target="https://doi.org/10.1176/appi.focus.20230009" TargetMode="External"/><Relationship Id="rId52" Type="http://schemas.openxmlformats.org/officeDocument/2006/relationships/hyperlink" Target="https://healthquality.va.gov/HEALTHQUALITY/guidelines/mh/bd/index.asp" TargetMode="External"/><Relationship Id="rId53" Type="http://schemas.openxmlformats.org/officeDocument/2006/relationships/hyperlink" Target="https://www.nice.org.uk/guidance/cg103/chapter/recommendations" TargetMode="External"/><Relationship Id="rId54" Type="http://schemas.openxmlformats.org/officeDocument/2006/relationships/hyperlink" Target="https://auge.minsal.cl/problemasdesalud/ind/75" TargetMode="External"/><Relationship Id="rId55" Type="http://schemas.openxmlformats.org/officeDocument/2006/relationships/hyperlink" Target="https://www.bcn.cl/leychile/navegar?idNorma=1217190&amp;idParte=0" TargetMode="External"/><Relationship Id="rId56" Type="http://schemas.openxmlformats.org/officeDocument/2006/relationships/hyperlink" Target="https://doi.org/10.1177/0004867420979353" TargetMode="External"/><Relationship Id="rId57" Type="http://schemas.openxmlformats.org/officeDocument/2006/relationships/hyperlink" Target="https://www.nice.org.uk/guidance/cg178/chapter/recommendations" TargetMode="External"/><Relationship Id="rId58" Type="http://schemas.openxmlformats.org/officeDocument/2006/relationships/hyperlink" Target="https://doi.org/10.1176/appi.ajp.2020.177901" TargetMode="External"/><Relationship Id="rId59" Type="http://schemas.openxmlformats.org/officeDocument/2006/relationships/hyperlink" Target="https://auge.minsal.cl/problemasdesalud/index/15" TargetMode="External"/><Relationship Id="rId60" Type="http://schemas.openxmlformats.org/officeDocument/2006/relationships/hyperlink" Target="https://doi.org/10.1016/S0140-6736(19)31135-3" TargetMode="External"/><Relationship Id="rId61" Type="http://schemas.openxmlformats.org/officeDocument/2006/relationships/hyperlink" Target="https://doi.org/10.1002/wps.20567" TargetMode="External"/><Relationship Id="rId62" Type="http://schemas.openxmlformats.org/officeDocument/2006/relationships/hyperlink" Target="https://doi.org/10.1176/appi.ajp.2016.16050503" TargetMode="External"/><Relationship Id="rId63" Type="http://schemas.openxmlformats.org/officeDocument/2006/relationships/hyperlink" Target="https://doi.org/10.1007/s40263-022-00932-2" TargetMode="External"/><Relationship Id="rId64" Type="http://schemas.openxmlformats.org/officeDocument/2006/relationships/hyperlink" Target="https://www.gov.uk/drug-safety-update/clozapine-reminder-of-potentially-fatal-risk-of-intestinal-obstruction-faecal-impaction-and-paralytic-ileus" TargetMode="External"/><Relationship Id="rId65" Type="http://schemas.openxmlformats.org/officeDocument/2006/relationships/hyperlink" Target="https://www.minsal.cl/salud-mental/" TargetMode="External"/><Relationship Id="rId66" Type="http://schemas.openxmlformats.org/officeDocument/2006/relationships/hyperlink" Target="https://auge.minsal.cl/problemasdesalud/lep/15" TargetMode="External"/><Relationship Id="rId67" Type="http://schemas.openxmlformats.org/officeDocument/2006/relationships/hyperlink" Target="https://doi.org/10.1002/wps.20084" TargetMode="External"/><Relationship Id="rId68" Type="http://schemas.openxmlformats.org/officeDocument/2006/relationships/hyperlink" Target="https://doi.org/10.1192/bjp.bp.115.165092" TargetMode="External"/><Relationship Id="rId69" Type="http://schemas.openxmlformats.org/officeDocument/2006/relationships/hyperlink" Target="https://www.who.int/publications/i/item/9789240077263" TargetMode="External"/><Relationship Id="rId70" Type="http://schemas.openxmlformats.org/officeDocument/2006/relationships/hyperlink" Target="https://www.nice.org.uk/guidance/cg113" TargetMode="External"/><Relationship Id="rId71" Type="http://schemas.openxmlformats.org/officeDocument/2006/relationships/hyperlink" Target="https://doi.org/10.1016/S0140-6736(16)30381-6" TargetMode="External"/><Relationship Id="rId72" Type="http://schemas.openxmlformats.org/officeDocument/2006/relationships/hyperlink" Target="https://doi.org/10.1002/14651858.CD011004.pub2" TargetMode="External"/><Relationship Id="rId73" Type="http://schemas.openxmlformats.org/officeDocument/2006/relationships/hyperlink" Target="https://doi.org/10.1001/archinte.166.10.1092" TargetMode="External"/><Relationship Id="rId74" Type="http://schemas.openxmlformats.org/officeDocument/2006/relationships/hyperlink" Target="https://doi.org/10.1177/0269881114525674" TargetMode="External"/><Relationship Id="rId75" Type="http://schemas.openxmlformats.org/officeDocument/2006/relationships/hyperlink" Target="https://www.nice.org.uk/guidance/cg159" TargetMode="External"/><Relationship Id="rId76" Type="http://schemas.openxmlformats.org/officeDocument/2006/relationships/hyperlink" Target="https://doi.org/10.1016/S2215-0366(14)70329-3" TargetMode="External"/><Relationship Id="rId77" Type="http://schemas.openxmlformats.org/officeDocument/2006/relationships/hyperlink" Target="https://doi.org/10.1016/j.brat.2014.04.006" TargetMode="External"/><Relationship Id="rId78" Type="http://schemas.openxmlformats.org/officeDocument/2006/relationships/hyperlink" Target="https://www.nice.org.uk/guidance/cg31" TargetMode="External"/><Relationship Id="rId79" Type="http://schemas.openxmlformats.org/officeDocument/2006/relationships/hyperlink" Target="https://doi.org/10.1038/s41572-019-0102-3" TargetMode="External"/><Relationship Id="rId80" Type="http://schemas.openxmlformats.org/officeDocument/2006/relationships/hyperlink" Target="https://doi.org/10.1016/S2215-0366(16)30069-4" TargetMode="External"/><Relationship Id="rId81" Type="http://schemas.openxmlformats.org/officeDocument/2006/relationships/hyperlink" Target="https://www.nice.org.uk/guidance/ng116" TargetMode="External"/><Relationship Id="rId82" Type="http://schemas.openxmlformats.org/officeDocument/2006/relationships/hyperlink" Target="https://www.healthquality.va.gov/guidelines/MH/ptsd/" TargetMode="External"/><Relationship Id="rId83" Type="http://schemas.openxmlformats.org/officeDocument/2006/relationships/hyperlink" Target="https://doi.org/10.1136/bmj.h6161" TargetMode="External"/><Relationship Id="rId84" Type="http://schemas.openxmlformats.org/officeDocument/2006/relationships/hyperlink" Target="https://auge.minsal.cl/problemasdesalud/index/86" TargetMode="External"/><Relationship Id="rId85" Type="http://schemas.openxmlformats.org/officeDocument/2006/relationships/hyperlink" Target="https://www.who.int/publications/i/item/978924159938-2" TargetMode="External"/><Relationship Id="rId86" Type="http://schemas.openxmlformats.org/officeDocument/2006/relationships/hyperlink" Target="https://www.who.int/publications/i/item/WHO-MSD-MSB-01.6a" TargetMode="External"/><Relationship Id="rId87" Type="http://schemas.openxmlformats.org/officeDocument/2006/relationships/hyperlink" Target="https://auge.minsal.cl/problemasdesalud/index/53" TargetMode="External"/><Relationship Id="rId88" Type="http://schemas.openxmlformats.org/officeDocument/2006/relationships/hyperlink" Target="https://www.healthquality.va.gov/guidelines/MH/sud/" TargetMode="External"/><Relationship Id="rId89" Type="http://schemas.openxmlformats.org/officeDocument/2006/relationships/hyperlink" Target="https://www.researchgate.net/publication/285706724_Validacion_de_una_escala_breve_para_la_deteccion_de_beber_anormal_EBBA" TargetMode="External"/><Relationship Id="rId90" Type="http://schemas.openxmlformats.org/officeDocument/2006/relationships/hyperlink" Target="https://www.asam.org/quality-care/clinical-guidelines/alcohol-withdrawal-management-guideline" TargetMode="External"/><Relationship Id="rId91" Type="http://schemas.openxmlformats.org/officeDocument/2006/relationships/hyperlink" Target="https://www.who.int/teams/mental-health-and-substance-use/treatment-care/mental-health-gap-action-programme/evidence-centre/alcohol-use-disorders/management-of-alcohol-withdrawal" TargetMode="External"/><Relationship Id="rId92" Type="http://schemas.openxmlformats.org/officeDocument/2006/relationships/hyperlink" Target="https://www.nice.org.uk/guidance/cg100" TargetMode="External"/><Relationship Id="rId93" Type="http://schemas.openxmlformats.org/officeDocument/2006/relationships/hyperlink" Target="https://www.cdc.gov/cannabis/es/health-effects/el-cannabis-y-la-salud-mental.html" TargetMode="External"/><Relationship Id="rId94" Type="http://schemas.openxmlformats.org/officeDocument/2006/relationships/hyperlink" Target="https://www.cdc.gov/cannabis/es/health-effects/el-cannabis-y-la-intoxicacion.html" TargetMode="External"/><Relationship Id="rId95" Type="http://schemas.openxmlformats.org/officeDocument/2006/relationships/hyperlink" Target="https://doi.org/10.1016/S2215-0366(15)00363-6" TargetMode="External"/><Relationship Id="rId96" Type="http://schemas.openxmlformats.org/officeDocument/2006/relationships/hyperlink" Target="https://www.asam.org/quality-care/clinical-guidelines/stimulant-use-disorders" TargetMode="External"/><Relationship Id="rId97" Type="http://schemas.openxmlformats.org/officeDocument/2006/relationships/hyperlink" Target="https://www.cdc.gov/overdose-prevention/es/about/la-sobredosis-con-estimulantes.html" TargetMode="External"/><Relationship Id="rId98" Type="http://schemas.openxmlformats.org/officeDocument/2006/relationships/hyperlink" Target="https://www.unodc.org/LSS/Home/NPS" TargetMode="External"/><Relationship Id="rId99" Type="http://schemas.openxmlformats.org/officeDocument/2006/relationships/hyperlink" Target="https://www.cdc.gov/overdose-prevention/es/about/fentanilo.html" TargetMode="External"/><Relationship Id="rId100" Type="http://schemas.openxmlformats.org/officeDocument/2006/relationships/hyperlink" Target="https://www.who.int/news-room/fact-sheets/detail/opioid-overdose" TargetMode="External"/><Relationship Id="rId101" Type="http://schemas.openxmlformats.org/officeDocument/2006/relationships/hyperlink" Target="https://library.samhsa.gov/product/tip-63-medications-opioid-use-disorder/pep21-02-01-002" TargetMode="External"/><Relationship Id="rId102" Type="http://schemas.openxmlformats.org/officeDocument/2006/relationships/hyperlink" Target="https://www.asam.org/quality-care/clinical-guidelines/benzodiazepine-tapering" TargetMode="External"/><Relationship Id="rId103" Type="http://schemas.openxmlformats.org/officeDocument/2006/relationships/hyperlink" Target="https://www.who.int/publications/i/item/9789240096431" TargetMode="External"/><Relationship Id="rId104" Type="http://schemas.openxmlformats.org/officeDocument/2006/relationships/hyperlink" Target="https://auge.minsal.cl/problemasdesalud/index/90" TargetMode="External"/><Relationship Id="rId105" Type="http://schemas.openxmlformats.org/officeDocument/2006/relationships/hyperlink" Target="https://doi.org/10.1146/annurev-clinpsy-050718-095736" TargetMode="External"/><Relationship Id="rId106" Type="http://schemas.openxmlformats.org/officeDocument/2006/relationships/hyperlink" Target="https://doi.org/10.1016/S0140-6736(14)61394-5" TargetMode="External"/><Relationship Id="rId107" Type="http://schemas.openxmlformats.org/officeDocument/2006/relationships/hyperlink" Target="https://www.nice.org.uk/guidance/cg78" TargetMode="External"/><Relationship Id="rId108" Type="http://schemas.openxmlformats.org/officeDocument/2006/relationships/hyperlink" Target="https://www.psychiatry.org/psychiatrists/practice/clinical-practice-guidelines/borderline-personality-disorder" TargetMode="External"/><Relationship Id="rId109" Type="http://schemas.openxmlformats.org/officeDocument/2006/relationships/hyperlink" Target="https://doi.org/10.1176/appi.ajp.24181010" TargetMode="External"/><Relationship Id="rId110" Type="http://schemas.openxmlformats.org/officeDocument/2006/relationships/hyperlink" Target="https://doi.org/10.1002/14651858.CD012955.pub2" TargetMode="External"/><Relationship Id="rId111" Type="http://schemas.openxmlformats.org/officeDocument/2006/relationships/hyperlink" Target="https://doi.org/10.1038/nrdp.2018.29" TargetMode="External"/><Relationship Id="rId112" Type="http://schemas.openxmlformats.org/officeDocument/2006/relationships/hyperlink" Target="https://doi.org/10.1176/appi.books.9780890424865" TargetMode="External"/><Relationship Id="rId113" Type="http://schemas.openxmlformats.org/officeDocument/2006/relationships/hyperlink" Target="https://www.nice.org.uk/guidance/ng69" TargetMode="External"/><Relationship Id="rId114" Type="http://schemas.openxmlformats.org/officeDocument/2006/relationships/hyperlink" Target="https://www.rcpsych.ac.uk/improving-care/campaigning-for-better-mental-health-policy/college-reports/2022-college-reports/cr233" TargetMode="External"/><Relationship Id="rId115" Type="http://schemas.openxmlformats.org/officeDocument/2006/relationships/hyperlink" Target="https://doi.org/10.1016/S0140-6736(20)30059-3" TargetMode="External"/><Relationship Id="rId116" Type="http://schemas.openxmlformats.org/officeDocument/2006/relationships/hyperlink" Target="https://iris.who.int/handle/10665/375767" TargetMode="External"/><Relationship Id="rId117" Type="http://schemas.openxmlformats.org/officeDocument/2006/relationships/hyperlink" Target="https://www.bmj.com/content/376/bmj.o64" TargetMode="External"/><Relationship Id="rId118" Type="http://schemas.openxmlformats.org/officeDocument/2006/relationships/hyperlink" Target="https://www.aan.com/Guidelines/Home/GuidelineDetail/1150" TargetMode="External"/><Relationship Id="rId119" Type="http://schemas.openxmlformats.org/officeDocument/2006/relationships/hyperlink" Target="https://jcsm.aasm.org/doi/10.5664/jcsm.8986" TargetMode="External"/><Relationship Id="rId120" Type="http://schemas.openxmlformats.org/officeDocument/2006/relationships/hyperlink" Target="https://www.healthquality.va.gov/guidelines/CD/insomnia/index.asp" TargetMode="External"/><Relationship Id="rId121" Type="http://schemas.openxmlformats.org/officeDocument/2006/relationships/hyperlink" Target="https://www.nice.org.uk/guidance/cg103" TargetMode="External"/><Relationship Id="rId122" Type="http://schemas.openxmlformats.org/officeDocument/2006/relationships/hyperlink" Target="https://www.eunacom.cl/contenidos/Perfil2026.pdf" TargetMode="External"/><Relationship Id="rId123" Type="http://schemas.openxmlformats.org/officeDocument/2006/relationships/hyperlink" Target="https://auge.minsal.cl/problemasdesalud/index/85" TargetMode="External"/><Relationship Id="rId124" Type="http://schemas.openxmlformats.org/officeDocument/2006/relationships/hyperlink" Target="https://diprece.minsal.cl/demencia/" TargetMode="External"/><Relationship Id="rId125" Type="http://schemas.openxmlformats.org/officeDocument/2006/relationships/hyperlink" Target="https://www.nice.org.uk/guidance/ng97/chapter/Recommendations" TargetMode="External"/><Relationship Id="rId126" Type="http://schemas.openxmlformats.org/officeDocument/2006/relationships/hyperlink" Target="https://www.nice.org.uk/guidance/ng87/chapter/recommendations" TargetMode="External"/><Relationship Id="rId127" Type="http://schemas.openxmlformats.org/officeDocument/2006/relationships/hyperlink" Target="https://www.nice.org.uk/guidance/cg142" TargetMode="External"/><Relationship Id="rId128" Type="http://schemas.openxmlformats.org/officeDocument/2006/relationships/hyperlink" Target="https://diprece.minsal.cl/orientaciones-tecnicas-atencion-integral-de-personas-con-diagnostico-de-trastorno-del-especto-autista-a-lo-largo-del-curso-de-vida/" TargetMode="External"/><Relationship Id="rId129" Type="http://schemas.openxmlformats.org/officeDocument/2006/relationships/hyperlink" Target="https://www.bcn.cl/leychile/navegar?idNorma=1190123" TargetMode="External"/><Relationship Id="rId130" Type="http://schemas.openxmlformats.org/officeDocument/2006/relationships/hyperlink" Target="https://www.who.int/standards/classifications/frequently-asked-questions/gender-incongruence-and-transgender-health-in-the-icd" TargetMode="External"/><Relationship Id="rId131" Type="http://schemas.openxmlformats.org/officeDocument/2006/relationships/hyperlink" Target="https://www.tandfonline.com/doi/full/10.1080/26895269.2022.2100644" TargetMode="External"/><Relationship Id="rId132" Type="http://schemas.openxmlformats.org/officeDocument/2006/relationships/hyperlink" Target="https://www.bcn.cl/leychile/navegar?idNorma=1126480" TargetMode="External"/><Relationship Id="rId133" Type="http://schemas.openxmlformats.org/officeDocument/2006/relationships/hyperlink" Target="https://www.superdesalud.gob.cl/normativa/circular-if-n451/" TargetMode="External"/><Relationship Id="rId134" Type="http://schemas.openxmlformats.org/officeDocument/2006/relationships/hyperlink" Target="https://www.acog.org/clinical/clinical-guidance/clinical-practice-guideline/articles/2023/06/treatment-and-management-of-mental-health-conditions-during-pregnancy-and-postpartum" TargetMode="External"/><Relationship Id="rId135" Type="http://schemas.openxmlformats.org/officeDocument/2006/relationships/hyperlink" Target="https://www.nice.org.uk/guidance/cg192" TargetMode="External"/><Relationship Id="rId136" Type="http://schemas.openxmlformats.org/officeDocument/2006/relationships/hyperlink" Target="https://www.nice.org.uk/guidance/cg185" TargetMode="External"/><Relationship Id="rId137" Type="http://schemas.openxmlformats.org/officeDocument/2006/relationships/hyperlink" Target="https://www.bcn.cl/leychile/navegar?idNorma=1173643" TargetMode="External"/><Relationship Id="rId138" Type="http://schemas.openxmlformats.org/officeDocument/2006/relationships/hyperlink" Target="https://auge.minsal.cl/problemasdesalud/index/89" TargetMode="External"/><Relationship Id="rId139" Type="http://schemas.openxmlformats.org/officeDocument/2006/relationships/hyperlink" Target="https://journals.sagepub.com/doi/10.1177/02698811231158232" TargetMode="External"/><Relationship Id="rId140" Type="http://schemas.openxmlformats.org/officeDocument/2006/relationships/hyperlink" Target="https://www.bcn.cl/leychile/Navegar?idNorma=1039348" TargetMode="External"/><Relationship Id="rId141" Type="http://schemas.openxmlformats.org/officeDocument/2006/relationships/hyperlink" Target="https://www.bcn.cl/leychile/Navegar?idNorma=1217190&amp;idVersion=2025-12-02" TargetMode="External"/><Relationship Id="rId142" Type="http://schemas.openxmlformats.org/officeDocument/2006/relationships/hyperlink" Target="https://www.ohchr.org/en/instruments-mechanisms/instruments/convention-rights-persons-disabilities" TargetMode="External"/><Relationship Id="rId143" Type="http://schemas.openxmlformats.org/officeDocument/2006/relationships/hyperlink" Target="https://www.bcn.cl/leychile/navegar?idNorma=176595" TargetMode="External"/><Relationship Id="rId144" Type="http://schemas.openxmlformats.org/officeDocument/2006/relationships/hyperlink" Target="https://www.bcn.cl/leychile/navegar?idNorma=1213603" TargetMode="External"/><Relationship Id="rId145" Type="http://schemas.openxmlformats.org/officeDocument/2006/relationships/hyperlink" Target="https://www.suseso.cl/622/w3-propertyvalue-800666.html" TargetMode="External"/><Relationship Id="rId146" Type="http://schemas.openxmlformats.org/officeDocument/2006/relationships/hyperlink" Target="https://searchlibrary.ohchr.org/record/30105" TargetMode="External"/><Relationship Id="rId147" Type="http://schemas.openxmlformats.org/officeDocument/2006/relationships/hyperlink" Target="https://auge.minsal.cl/" TargetMode="External"/><Relationship Id="rId148" Type="http://schemas.openxmlformats.org/officeDocument/2006/relationships/hyperlink" Target="https://auge.minsal.cl/articulos/como-acceder-al-ges" TargetMode="External"/><Relationship Id="rId149" Type="http://schemas.openxmlformats.org/officeDocument/2006/relationships/hyperlink" Target="https://www.superdesalud.gob.cl/tramites/formulario-de-constancia-al-paciente-ges/" TargetMode="External"/><Relationship Id="rId150" Type="http://schemas.openxmlformats.org/officeDocument/2006/relationships/hyperlink" Target="https://diprece.minsal.cl/programas-de-salud/salud-mental-3/plan-nacional-de-salud-mental-y-marco-estrategic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Psiquiatría para internos de Medicina — Compendio integral de 50 capítulos</dc:title>
  <dc:subject>Lecturas complementarias de Psiquiatría para internos de Medicina</dc:subject>
  <dc:creator/>
  <cp:keywords>psiquiatría, internado, medicina, Chile, GES</cp:keywords>
  <dc:description>Versión final para revisión humana. Fuentes revisadas al 15 de agosto de 2026.</dc:description>
  <cp:lastModifiedBy/>
  <cp:revision>1</cp:revision>
  <dcterms:created xsi:type="dcterms:W3CDTF">2013-12-23T23:15:00Z</dcterms:created>
  <dcterms:modified xsi:type="dcterms:W3CDTF">2013-12-23T23:15:00Z</dcterms:modified>
  <cp:category/>
</cp:coreProperties>
</file>